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cs="Times New Roman"/>
        </w:rPr>
        <w:id w:val="-1219206161"/>
        <w:docPartObj>
          <w:docPartGallery w:val="Cover Pages"/>
          <w:docPartUnique/>
        </w:docPartObj>
      </w:sdtPr>
      <w:sdtEndPr>
        <w:rPr>
          <w:sz w:val="18"/>
          <w:szCs w:val="18"/>
        </w:rPr>
      </w:sdtEndPr>
      <w:sdtContent>
        <w:p w14:paraId="345B9C0F" w14:textId="77777777" w:rsidR="00610346" w:rsidRPr="00F97CB0" w:rsidRDefault="00610346" w:rsidP="00610346">
          <w:pPr>
            <w:spacing w:after="0" w:line="240" w:lineRule="auto"/>
            <w:ind w:left="1440" w:firstLine="720"/>
            <w:jc w:val="both"/>
            <w:rPr>
              <w:rFonts w:ascii="Times New Roman" w:eastAsia="Times New Roman" w:hAnsi="Times New Roman" w:cs="Times New Roman"/>
              <w:sz w:val="24"/>
              <w:szCs w:val="24"/>
            </w:rPr>
          </w:pPr>
          <w:r w:rsidRPr="00F97CB0">
            <w:rPr>
              <w:rFonts w:ascii="Times New Roman" w:hAnsi="Times New Roman"/>
              <w:noProof/>
              <w:sz w:val="24"/>
              <w:lang w:val="en-US"/>
            </w:rPr>
            <w:drawing>
              <wp:inline distT="0" distB="0" distL="0" distR="0" wp14:anchorId="7C371F79" wp14:editId="69BF4F6E">
                <wp:extent cx="382270" cy="559435"/>
                <wp:effectExtent l="0" t="0" r="0" b="0"/>
                <wp:docPr id="43"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p>
        <w:p w14:paraId="397ECA9C" w14:textId="77777777" w:rsidR="00610346" w:rsidRPr="00F97CB0" w:rsidRDefault="00610346" w:rsidP="00610346">
          <w:pPr>
            <w:spacing w:after="0" w:line="240" w:lineRule="auto"/>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4968"/>
          </w:tblGrid>
          <w:tr w:rsidR="00610346" w:rsidRPr="00F97CB0" w14:paraId="4BC27436" w14:textId="77777777" w:rsidTr="00882CF8">
            <w:tc>
              <w:tcPr>
                <w:tcW w:w="4968" w:type="dxa"/>
              </w:tcPr>
              <w:p w14:paraId="502F905F" w14:textId="77777777" w:rsidR="00610346" w:rsidRPr="00F97CB0" w:rsidRDefault="00610346" w:rsidP="00882CF8">
                <w:pPr>
                  <w:spacing w:after="0" w:line="240" w:lineRule="auto"/>
                  <w:jc w:val="center"/>
                  <w:rPr>
                    <w:rFonts w:ascii="Times New Roman" w:eastAsia="Times New Roman" w:hAnsi="Times New Roman" w:cs="Times New Roman"/>
                    <w:sz w:val="24"/>
                    <w:szCs w:val="24"/>
                  </w:rPr>
                </w:pPr>
                <w:r w:rsidRPr="00F97CB0">
                  <w:rPr>
                    <w:rFonts w:ascii="Times New Roman" w:hAnsi="Times New Roman"/>
                    <w:sz w:val="24"/>
                  </w:rPr>
                  <w:t>Republic of Serbia</w:t>
                </w:r>
              </w:p>
            </w:tc>
          </w:tr>
          <w:tr w:rsidR="00610346" w:rsidRPr="00F97CB0" w14:paraId="270FE150" w14:textId="77777777" w:rsidTr="00882CF8">
            <w:tc>
              <w:tcPr>
                <w:tcW w:w="4968" w:type="dxa"/>
              </w:tcPr>
              <w:p w14:paraId="7DF12470" w14:textId="77777777" w:rsidR="00610346" w:rsidRPr="00F97CB0" w:rsidRDefault="00610346" w:rsidP="00882CF8">
                <w:pPr>
                  <w:spacing w:after="0" w:line="240" w:lineRule="auto"/>
                  <w:jc w:val="center"/>
                  <w:rPr>
                    <w:rFonts w:ascii="Times New Roman" w:eastAsia="Times New Roman" w:hAnsi="Times New Roman" w:cs="Times New Roman"/>
                    <w:sz w:val="24"/>
                    <w:szCs w:val="24"/>
                  </w:rPr>
                </w:pPr>
                <w:r w:rsidRPr="00F97CB0">
                  <w:rPr>
                    <w:rFonts w:ascii="Times New Roman" w:hAnsi="Times New Roman"/>
                    <w:sz w:val="24"/>
                  </w:rPr>
                  <w:t>GOVERNMENT OF THE REPUBLIC OF SERBIA</w:t>
                </w:r>
              </w:p>
            </w:tc>
          </w:tr>
          <w:tr w:rsidR="00610346" w:rsidRPr="00F97CB0" w14:paraId="63B9772E" w14:textId="77777777" w:rsidTr="00882CF8">
            <w:tc>
              <w:tcPr>
                <w:tcW w:w="4968" w:type="dxa"/>
              </w:tcPr>
              <w:p w14:paraId="27438105" w14:textId="77777777" w:rsidR="00610346" w:rsidRPr="00F97CB0" w:rsidRDefault="00610346" w:rsidP="00882CF8">
                <w:pPr>
                  <w:spacing w:after="0" w:line="240" w:lineRule="auto"/>
                  <w:jc w:val="center"/>
                  <w:rPr>
                    <w:rFonts w:ascii="Times New Roman" w:eastAsia="Times New Roman" w:hAnsi="Times New Roman" w:cs="Times New Roman"/>
                    <w:sz w:val="24"/>
                    <w:szCs w:val="24"/>
                  </w:rPr>
                </w:pPr>
                <w:r w:rsidRPr="00F97CB0">
                  <w:rPr>
                    <w:rFonts w:ascii="Times New Roman" w:hAnsi="Times New Roman"/>
                    <w:sz w:val="24"/>
                  </w:rPr>
                  <w:t>ANTI-CORRUPTION COUNCIL</w:t>
                </w:r>
              </w:p>
            </w:tc>
          </w:tr>
          <w:tr w:rsidR="00610346" w:rsidRPr="00F97CB0" w14:paraId="6251A403" w14:textId="77777777" w:rsidTr="00882CF8">
            <w:tc>
              <w:tcPr>
                <w:tcW w:w="4968" w:type="dxa"/>
              </w:tcPr>
              <w:p w14:paraId="5D1DFBCC" w14:textId="7095AB83" w:rsidR="00610346" w:rsidRPr="00F97CB0" w:rsidRDefault="001F17BD" w:rsidP="008D4BF2">
                <w:pPr>
                  <w:tabs>
                    <w:tab w:val="center" w:pos="2376"/>
                    <w:tab w:val="left" w:pos="4020"/>
                  </w:tabs>
                  <w:spacing w:after="0" w:line="240" w:lineRule="auto"/>
                  <w:rPr>
                    <w:rFonts w:ascii="Times New Roman" w:eastAsia="Times New Roman" w:hAnsi="Times New Roman" w:cs="Times New Roman"/>
                    <w:sz w:val="24"/>
                    <w:szCs w:val="24"/>
                  </w:rPr>
                </w:pPr>
                <w:r w:rsidRPr="00F97CB0">
                  <w:rPr>
                    <w:rFonts w:ascii="Times New Roman" w:hAnsi="Times New Roman"/>
                    <w:sz w:val="24"/>
                  </w:rPr>
                  <w:t xml:space="preserve"> 72 No: 023-00-1478/2022</w:t>
                </w:r>
              </w:p>
            </w:tc>
          </w:tr>
          <w:tr w:rsidR="00610346" w:rsidRPr="00F97CB0" w14:paraId="2C2E0308" w14:textId="77777777" w:rsidTr="00882CF8">
            <w:tc>
              <w:tcPr>
                <w:tcW w:w="4968" w:type="dxa"/>
              </w:tcPr>
              <w:p w14:paraId="710DFE4C" w14:textId="1DD18F7B" w:rsidR="00610346" w:rsidRPr="00F97CB0" w:rsidRDefault="00136156" w:rsidP="00882CF8">
                <w:pPr>
                  <w:tabs>
                    <w:tab w:val="left" w:pos="510"/>
                    <w:tab w:val="center" w:pos="2376"/>
                  </w:tabs>
                  <w:spacing w:after="0" w:line="240" w:lineRule="auto"/>
                  <w:jc w:val="center"/>
                  <w:rPr>
                    <w:rFonts w:ascii="Times New Roman" w:eastAsia="Times New Roman" w:hAnsi="Times New Roman" w:cs="Times New Roman"/>
                    <w:sz w:val="24"/>
                    <w:szCs w:val="24"/>
                  </w:rPr>
                </w:pPr>
                <w:r w:rsidRPr="00F97CB0">
                  <w:rPr>
                    <w:rFonts w:ascii="Times New Roman" w:hAnsi="Times New Roman"/>
                    <w:sz w:val="24"/>
                  </w:rPr>
                  <w:t>18 February 2022</w:t>
                </w:r>
              </w:p>
              <w:p w14:paraId="40E1A970" w14:textId="77777777" w:rsidR="00610346" w:rsidRPr="00F97CB0" w:rsidRDefault="00610346" w:rsidP="00882CF8">
                <w:pPr>
                  <w:spacing w:after="0" w:line="240" w:lineRule="auto"/>
                  <w:jc w:val="center"/>
                  <w:rPr>
                    <w:rFonts w:ascii="Times New Roman" w:eastAsia="Times New Roman" w:hAnsi="Times New Roman" w:cs="Times New Roman"/>
                    <w:sz w:val="24"/>
                    <w:szCs w:val="24"/>
                  </w:rPr>
                </w:pPr>
                <w:r w:rsidRPr="00F97CB0">
                  <w:rPr>
                    <w:rFonts w:ascii="Times New Roman" w:hAnsi="Times New Roman"/>
                    <w:sz w:val="24"/>
                  </w:rPr>
                  <w:t>Belgrade</w:t>
                </w:r>
              </w:p>
            </w:tc>
          </w:tr>
        </w:tbl>
        <w:p w14:paraId="7E2A362F" w14:textId="36245456" w:rsidR="00610346" w:rsidRPr="00F97CB0" w:rsidRDefault="00610346" w:rsidP="00610346">
          <w:pPr>
            <w:jc w:val="both"/>
            <w:rPr>
              <w:rFonts w:ascii="Times New Roman" w:hAnsi="Times New Roman" w:cs="Times New Roman"/>
            </w:rPr>
          </w:pPr>
        </w:p>
        <w:p w14:paraId="2AC440A2" w14:textId="45F05514" w:rsidR="00263DAC" w:rsidRPr="00F97CB0" w:rsidRDefault="00263DAC" w:rsidP="00610346">
          <w:pPr>
            <w:jc w:val="both"/>
            <w:rPr>
              <w:rFonts w:ascii="Times New Roman" w:hAnsi="Times New Roman" w:cs="Times New Roman"/>
            </w:rPr>
          </w:pPr>
        </w:p>
        <w:p w14:paraId="2FFCAC05" w14:textId="0B6007CC" w:rsidR="00263DAC" w:rsidRPr="00F97CB0" w:rsidRDefault="00263DAC" w:rsidP="00610346">
          <w:pPr>
            <w:jc w:val="both"/>
            <w:rPr>
              <w:rFonts w:ascii="Times New Roman" w:hAnsi="Times New Roman" w:cs="Times New Roman"/>
            </w:rPr>
          </w:pPr>
        </w:p>
        <w:p w14:paraId="7E17D7A0" w14:textId="73B81001" w:rsidR="00263DAC" w:rsidRPr="00F97CB0" w:rsidRDefault="00263DAC" w:rsidP="00610346">
          <w:pPr>
            <w:jc w:val="both"/>
            <w:rPr>
              <w:rFonts w:ascii="Times New Roman" w:hAnsi="Times New Roman" w:cs="Times New Roman"/>
            </w:rPr>
          </w:pPr>
        </w:p>
        <w:p w14:paraId="774AF25E" w14:textId="1140F1AB" w:rsidR="00263DAC" w:rsidRPr="00F97CB0" w:rsidRDefault="00263DAC" w:rsidP="00610346">
          <w:pPr>
            <w:jc w:val="both"/>
            <w:rPr>
              <w:rFonts w:ascii="Times New Roman" w:hAnsi="Times New Roman" w:cs="Times New Roman"/>
            </w:rPr>
          </w:pPr>
        </w:p>
        <w:p w14:paraId="0383E7CB" w14:textId="766012D6" w:rsidR="00263DAC" w:rsidRPr="00F97CB0" w:rsidRDefault="00263DAC" w:rsidP="00610346">
          <w:pPr>
            <w:jc w:val="both"/>
            <w:rPr>
              <w:rFonts w:ascii="Times New Roman" w:hAnsi="Times New Roman" w:cs="Times New Roman"/>
            </w:rPr>
          </w:pPr>
        </w:p>
        <w:p w14:paraId="5EBF8F81" w14:textId="77777777" w:rsidR="00263DAC" w:rsidRPr="00F97CB0" w:rsidRDefault="00263DAC" w:rsidP="00610346">
          <w:pPr>
            <w:jc w:val="both"/>
            <w:rPr>
              <w:rFonts w:ascii="Times New Roman" w:hAnsi="Times New Roman" w:cs="Times New Roman"/>
            </w:rPr>
          </w:pPr>
        </w:p>
        <w:p w14:paraId="522C27AC" w14:textId="64FD6A5D" w:rsidR="00263DAC" w:rsidRPr="00F97CB0" w:rsidRDefault="00263DAC" w:rsidP="00263DAC">
          <w:pPr>
            <w:jc w:val="center"/>
            <w:rPr>
              <w:rFonts w:ascii="Times New Roman" w:hAnsi="Times New Roman" w:cs="Times New Roman"/>
            </w:rPr>
          </w:pPr>
          <w:r w:rsidRPr="00F97CB0">
            <w:rPr>
              <w:rFonts w:ascii="Times New Roman" w:hAnsi="Times New Roman"/>
              <w:b/>
              <w:color w:val="4472C4" w:themeColor="accent1"/>
              <w:sz w:val="44"/>
            </w:rPr>
            <w:t>PRIVATISATION OF THE JAROSLAV ČERNI WATER INSTITUTE</w:t>
          </w:r>
        </w:p>
        <w:p w14:paraId="784F81DC" w14:textId="27F44CED" w:rsidR="00610346" w:rsidRPr="00F97CB0" w:rsidRDefault="00610346" w:rsidP="00610346">
          <w:pPr>
            <w:spacing w:after="0" w:line="240" w:lineRule="auto"/>
            <w:ind w:left="1440" w:firstLine="720"/>
            <w:jc w:val="both"/>
            <w:rPr>
              <w:rFonts w:ascii="Times New Roman" w:eastAsia="Times New Roman" w:hAnsi="Times New Roman" w:cs="Times New Roman"/>
              <w:sz w:val="24"/>
              <w:szCs w:val="24"/>
            </w:rPr>
          </w:pPr>
          <w:r w:rsidRPr="00F97CB0">
            <w:br w:type="page"/>
          </w:r>
        </w:p>
        <w:sdt>
          <w:sdtPr>
            <w:rPr>
              <w:rFonts w:ascii="Times New Roman" w:eastAsiaTheme="minorHAnsi" w:hAnsi="Times New Roman" w:cs="Times New Roman"/>
              <w:color w:val="auto"/>
              <w:sz w:val="22"/>
              <w:szCs w:val="22"/>
            </w:rPr>
            <w:id w:val="-1203789522"/>
            <w:docPartObj>
              <w:docPartGallery w:val="Table of Contents"/>
              <w:docPartUnique/>
            </w:docPartObj>
          </w:sdtPr>
          <w:sdtEndPr>
            <w:rPr>
              <w:b/>
              <w:bCs/>
            </w:rPr>
          </w:sdtEndPr>
          <w:sdtContent>
            <w:p w14:paraId="4F97432D" w14:textId="485E0397" w:rsidR="00A179CA" w:rsidRPr="00F97CB0" w:rsidRDefault="00FB3643">
              <w:pPr>
                <w:pStyle w:val="TOCHeading"/>
                <w:rPr>
                  <w:rFonts w:ascii="Times New Roman" w:hAnsi="Times New Roman" w:cs="Times New Roman"/>
                  <w:b/>
                </w:rPr>
              </w:pPr>
              <w:r w:rsidRPr="00F97CB0">
                <w:rPr>
                  <w:rFonts w:ascii="Times New Roman" w:hAnsi="Times New Roman"/>
                  <w:b/>
                </w:rPr>
                <w:t>TABLE OF CONTENTS</w:t>
              </w:r>
            </w:p>
            <w:p w14:paraId="59BC90B8" w14:textId="77777777" w:rsidR="001A5478" w:rsidRPr="00F97CB0" w:rsidRDefault="001A5478" w:rsidP="001A5478">
              <w:pPr>
                <w:rPr>
                  <w:rFonts w:ascii="Times New Roman" w:hAnsi="Times New Roman" w:cs="Times New Roman"/>
                </w:rPr>
              </w:pPr>
            </w:p>
            <w:p w14:paraId="62DB5C79" w14:textId="6EBFF25C" w:rsidR="00786ABC" w:rsidRPr="00F97CB0" w:rsidRDefault="00A179CA">
              <w:pPr>
                <w:pStyle w:val="TOC1"/>
                <w:tabs>
                  <w:tab w:val="left" w:pos="440"/>
                  <w:tab w:val="right" w:leader="dot" w:pos="9350"/>
                </w:tabs>
                <w:rPr>
                  <w:rFonts w:eastAsiaTheme="minorEastAsia"/>
                </w:rPr>
              </w:pPr>
              <w:r w:rsidRPr="00F97CB0">
                <w:rPr>
                  <w:rFonts w:ascii="Times New Roman" w:hAnsi="Times New Roman" w:cs="Times New Roman"/>
                </w:rPr>
                <w:fldChar w:fldCharType="begin"/>
              </w:r>
              <w:r w:rsidRPr="00F97CB0">
                <w:rPr>
                  <w:rFonts w:ascii="Times New Roman" w:hAnsi="Times New Roman" w:cs="Times New Roman"/>
                </w:rPr>
                <w:instrText xml:space="preserve"> TOC \o "1-3" \h \z \u </w:instrText>
              </w:r>
              <w:r w:rsidRPr="00F97CB0">
                <w:rPr>
                  <w:rFonts w:ascii="Times New Roman" w:hAnsi="Times New Roman" w:cs="Times New Roman"/>
                </w:rPr>
                <w:fldChar w:fldCharType="separate"/>
              </w:r>
              <w:hyperlink w:anchor="_Toc112590370" w:history="1">
                <w:r w:rsidR="00786ABC" w:rsidRPr="00F97CB0">
                  <w:rPr>
                    <w:rStyle w:val="Hyperlink"/>
                    <w:rFonts w:ascii="Times New Roman" w:hAnsi="Times New Roman" w:cs="Times New Roman"/>
                    <w:b/>
                  </w:rPr>
                  <w:t>1.</w:t>
                </w:r>
                <w:r w:rsidR="00786ABC" w:rsidRPr="00F97CB0">
                  <w:rPr>
                    <w:rFonts w:eastAsiaTheme="minorEastAsia"/>
                  </w:rPr>
                  <w:tab/>
                </w:r>
                <w:r w:rsidR="00786ABC" w:rsidRPr="00F97CB0">
                  <w:rPr>
                    <w:rStyle w:val="Hyperlink"/>
                    <w:rFonts w:ascii="Times New Roman" w:hAnsi="Times New Roman"/>
                    <w:b/>
                  </w:rPr>
                  <w:t>INTRODUCTION</w:t>
                </w:r>
                <w:r w:rsidR="00786ABC" w:rsidRPr="00F97CB0">
                  <w:rPr>
                    <w:webHidden/>
                  </w:rPr>
                  <w:tab/>
                </w:r>
                <w:r w:rsidR="00786ABC" w:rsidRPr="00F97CB0">
                  <w:rPr>
                    <w:webHidden/>
                  </w:rPr>
                  <w:fldChar w:fldCharType="begin"/>
                </w:r>
                <w:r w:rsidR="00786ABC" w:rsidRPr="00F97CB0">
                  <w:rPr>
                    <w:webHidden/>
                  </w:rPr>
                  <w:instrText xml:space="preserve"> PAGEREF _Toc112590370 \h </w:instrText>
                </w:r>
                <w:r w:rsidR="00786ABC" w:rsidRPr="00F97CB0">
                  <w:rPr>
                    <w:webHidden/>
                  </w:rPr>
                </w:r>
                <w:r w:rsidR="00786ABC" w:rsidRPr="00F97CB0">
                  <w:rPr>
                    <w:webHidden/>
                  </w:rPr>
                  <w:fldChar w:fldCharType="separate"/>
                </w:r>
                <w:r w:rsidR="00786ABC" w:rsidRPr="00F97CB0">
                  <w:rPr>
                    <w:webHidden/>
                  </w:rPr>
                  <w:t>0</w:t>
                </w:r>
                <w:r w:rsidR="00786ABC" w:rsidRPr="00F97CB0">
                  <w:rPr>
                    <w:webHidden/>
                  </w:rPr>
                  <w:fldChar w:fldCharType="end"/>
                </w:r>
              </w:hyperlink>
            </w:p>
            <w:p w14:paraId="14776FAB" w14:textId="575770BD" w:rsidR="00786ABC" w:rsidRPr="00F97CB0" w:rsidRDefault="00364DE1">
              <w:pPr>
                <w:pStyle w:val="TOC1"/>
                <w:tabs>
                  <w:tab w:val="left" w:pos="440"/>
                  <w:tab w:val="right" w:leader="dot" w:pos="9350"/>
                </w:tabs>
                <w:rPr>
                  <w:rFonts w:eastAsiaTheme="minorEastAsia"/>
                </w:rPr>
              </w:pPr>
              <w:hyperlink w:anchor="_Toc112590371" w:history="1">
                <w:r w:rsidR="00786ABC" w:rsidRPr="00F97CB0">
                  <w:rPr>
                    <w:rStyle w:val="Hyperlink"/>
                    <w:rFonts w:ascii="Times New Roman" w:hAnsi="Times New Roman" w:cs="Times New Roman"/>
                    <w:b/>
                  </w:rPr>
                  <w:t>2.</w:t>
                </w:r>
                <w:r w:rsidR="00786ABC" w:rsidRPr="00F97CB0">
                  <w:rPr>
                    <w:rFonts w:eastAsiaTheme="minorEastAsia"/>
                  </w:rPr>
                  <w:tab/>
                </w:r>
                <w:r w:rsidR="00786ABC" w:rsidRPr="00F97CB0">
                  <w:rPr>
                    <w:rStyle w:val="Hyperlink"/>
                    <w:rFonts w:ascii="Times New Roman" w:hAnsi="Times New Roman"/>
                    <w:b/>
                  </w:rPr>
                  <w:t>ACTIVITIES AND ORGANISATIONAL STRUCTURE OF THE JAROSLAV ČERNI WATER INSTITUTE</w:t>
                </w:r>
                <w:r w:rsidR="00786ABC" w:rsidRPr="00F97CB0">
                  <w:rPr>
                    <w:webHidden/>
                  </w:rPr>
                  <w:tab/>
                </w:r>
                <w:r w:rsidR="00786ABC" w:rsidRPr="00F97CB0">
                  <w:rPr>
                    <w:webHidden/>
                  </w:rPr>
                  <w:fldChar w:fldCharType="begin"/>
                </w:r>
                <w:r w:rsidR="00786ABC" w:rsidRPr="00F97CB0">
                  <w:rPr>
                    <w:webHidden/>
                  </w:rPr>
                  <w:instrText xml:space="preserve"> PAGEREF _Toc112590371 \h </w:instrText>
                </w:r>
                <w:r w:rsidR="00786ABC" w:rsidRPr="00F97CB0">
                  <w:rPr>
                    <w:webHidden/>
                  </w:rPr>
                </w:r>
                <w:r w:rsidR="00786ABC" w:rsidRPr="00F97CB0">
                  <w:rPr>
                    <w:webHidden/>
                  </w:rPr>
                  <w:fldChar w:fldCharType="separate"/>
                </w:r>
                <w:r w:rsidR="00786ABC" w:rsidRPr="00F97CB0">
                  <w:rPr>
                    <w:webHidden/>
                  </w:rPr>
                  <w:t>3</w:t>
                </w:r>
                <w:r w:rsidR="00786ABC" w:rsidRPr="00F97CB0">
                  <w:rPr>
                    <w:webHidden/>
                  </w:rPr>
                  <w:fldChar w:fldCharType="end"/>
                </w:r>
              </w:hyperlink>
            </w:p>
            <w:p w14:paraId="4503A134" w14:textId="2837727A" w:rsidR="00786ABC" w:rsidRPr="00F97CB0" w:rsidRDefault="00364DE1">
              <w:pPr>
                <w:pStyle w:val="TOC1"/>
                <w:tabs>
                  <w:tab w:val="left" w:pos="440"/>
                  <w:tab w:val="right" w:leader="dot" w:pos="9350"/>
                </w:tabs>
                <w:rPr>
                  <w:rFonts w:eastAsiaTheme="minorEastAsia"/>
                </w:rPr>
              </w:pPr>
              <w:hyperlink w:anchor="_Toc112590372" w:history="1">
                <w:r w:rsidR="00786ABC" w:rsidRPr="00F97CB0">
                  <w:rPr>
                    <w:rStyle w:val="Hyperlink"/>
                    <w:rFonts w:ascii="Times New Roman" w:hAnsi="Times New Roman" w:cs="Times New Roman"/>
                    <w:b/>
                  </w:rPr>
                  <w:t>3.</w:t>
                </w:r>
                <w:r w:rsidR="00786ABC" w:rsidRPr="00F97CB0">
                  <w:rPr>
                    <w:rFonts w:eastAsiaTheme="minorEastAsia"/>
                  </w:rPr>
                  <w:tab/>
                </w:r>
                <w:r w:rsidR="00786ABC" w:rsidRPr="00F97CB0">
                  <w:rPr>
                    <w:rStyle w:val="Hyperlink"/>
                    <w:rFonts w:ascii="Times New Roman" w:hAnsi="Times New Roman"/>
                    <w:b/>
                  </w:rPr>
                  <w:t>ASSETS OF THE JAROSLAV ČERNI WATER INSTITUTE</w:t>
                </w:r>
                <w:r w:rsidR="00786ABC" w:rsidRPr="00F97CB0">
                  <w:rPr>
                    <w:webHidden/>
                  </w:rPr>
                  <w:tab/>
                </w:r>
                <w:r w:rsidR="00786ABC" w:rsidRPr="00F97CB0">
                  <w:rPr>
                    <w:webHidden/>
                  </w:rPr>
                  <w:fldChar w:fldCharType="begin"/>
                </w:r>
                <w:r w:rsidR="00786ABC" w:rsidRPr="00F97CB0">
                  <w:rPr>
                    <w:webHidden/>
                  </w:rPr>
                  <w:instrText xml:space="preserve"> PAGEREF _Toc112590372 \h </w:instrText>
                </w:r>
                <w:r w:rsidR="00786ABC" w:rsidRPr="00F97CB0">
                  <w:rPr>
                    <w:webHidden/>
                  </w:rPr>
                </w:r>
                <w:r w:rsidR="00786ABC" w:rsidRPr="00F97CB0">
                  <w:rPr>
                    <w:webHidden/>
                  </w:rPr>
                  <w:fldChar w:fldCharType="separate"/>
                </w:r>
                <w:r w:rsidR="00786ABC" w:rsidRPr="00F97CB0">
                  <w:rPr>
                    <w:webHidden/>
                  </w:rPr>
                  <w:t>5</w:t>
                </w:r>
                <w:r w:rsidR="00786ABC" w:rsidRPr="00F97CB0">
                  <w:rPr>
                    <w:webHidden/>
                  </w:rPr>
                  <w:fldChar w:fldCharType="end"/>
                </w:r>
              </w:hyperlink>
            </w:p>
            <w:p w14:paraId="374C1691" w14:textId="00BF5A0E" w:rsidR="00786ABC" w:rsidRPr="00F97CB0" w:rsidRDefault="00364DE1">
              <w:pPr>
                <w:pStyle w:val="TOC1"/>
                <w:tabs>
                  <w:tab w:val="left" w:pos="440"/>
                  <w:tab w:val="right" w:leader="dot" w:pos="9350"/>
                </w:tabs>
                <w:rPr>
                  <w:rFonts w:eastAsiaTheme="minorEastAsia"/>
                </w:rPr>
              </w:pPr>
              <w:hyperlink w:anchor="_Toc112590373" w:history="1">
                <w:r w:rsidR="00786ABC" w:rsidRPr="00F97CB0">
                  <w:rPr>
                    <w:rStyle w:val="Hyperlink"/>
                    <w:rFonts w:ascii="Times New Roman" w:hAnsi="Times New Roman" w:cs="Times New Roman"/>
                    <w:b/>
                  </w:rPr>
                  <w:t>4.</w:t>
                </w:r>
                <w:r w:rsidR="00786ABC" w:rsidRPr="00F97CB0">
                  <w:rPr>
                    <w:rFonts w:eastAsiaTheme="minorEastAsia"/>
                  </w:rPr>
                  <w:tab/>
                </w:r>
                <w:r w:rsidR="00786ABC" w:rsidRPr="00F97CB0">
                  <w:rPr>
                    <w:rStyle w:val="Hyperlink"/>
                    <w:rFonts w:ascii="Times New Roman" w:hAnsi="Times New Roman"/>
                    <w:b/>
                  </w:rPr>
                  <w:t>THE VALUE OF THE JAROSLAV ČERNI WATER INSTITUTE</w:t>
                </w:r>
                <w:r w:rsidR="00786ABC" w:rsidRPr="00F97CB0">
                  <w:rPr>
                    <w:webHidden/>
                  </w:rPr>
                  <w:tab/>
                </w:r>
                <w:r w:rsidR="00786ABC" w:rsidRPr="00F97CB0">
                  <w:rPr>
                    <w:webHidden/>
                  </w:rPr>
                  <w:fldChar w:fldCharType="begin"/>
                </w:r>
                <w:r w:rsidR="00786ABC" w:rsidRPr="00F97CB0">
                  <w:rPr>
                    <w:webHidden/>
                  </w:rPr>
                  <w:instrText xml:space="preserve"> PAGEREF _Toc112590373 \h </w:instrText>
                </w:r>
                <w:r w:rsidR="00786ABC" w:rsidRPr="00F97CB0">
                  <w:rPr>
                    <w:webHidden/>
                  </w:rPr>
                </w:r>
                <w:r w:rsidR="00786ABC" w:rsidRPr="00F97CB0">
                  <w:rPr>
                    <w:webHidden/>
                  </w:rPr>
                  <w:fldChar w:fldCharType="separate"/>
                </w:r>
                <w:r w:rsidR="00786ABC" w:rsidRPr="00F97CB0">
                  <w:rPr>
                    <w:webHidden/>
                  </w:rPr>
                  <w:t>5</w:t>
                </w:r>
                <w:r w:rsidR="00786ABC" w:rsidRPr="00F97CB0">
                  <w:rPr>
                    <w:webHidden/>
                  </w:rPr>
                  <w:fldChar w:fldCharType="end"/>
                </w:r>
              </w:hyperlink>
            </w:p>
            <w:p w14:paraId="7D0A87DF" w14:textId="7A21B708" w:rsidR="00786ABC" w:rsidRPr="00F97CB0" w:rsidRDefault="00364DE1">
              <w:pPr>
                <w:pStyle w:val="TOC1"/>
                <w:tabs>
                  <w:tab w:val="left" w:pos="440"/>
                  <w:tab w:val="right" w:leader="dot" w:pos="9350"/>
                </w:tabs>
                <w:rPr>
                  <w:rFonts w:eastAsiaTheme="minorEastAsia"/>
                </w:rPr>
              </w:pPr>
              <w:hyperlink w:anchor="_Toc112590374" w:history="1">
                <w:r w:rsidR="00786ABC" w:rsidRPr="00F97CB0">
                  <w:rPr>
                    <w:rStyle w:val="Hyperlink"/>
                    <w:rFonts w:ascii="Times New Roman" w:eastAsia="Times New Roman" w:hAnsi="Times New Roman" w:cs="Times New Roman"/>
                    <w:b/>
                  </w:rPr>
                  <w:t>5.</w:t>
                </w:r>
                <w:r w:rsidR="00786ABC" w:rsidRPr="00F97CB0">
                  <w:rPr>
                    <w:rFonts w:eastAsiaTheme="minorEastAsia"/>
                  </w:rPr>
                  <w:tab/>
                </w:r>
                <w:r w:rsidR="00786ABC" w:rsidRPr="00F97CB0">
                  <w:rPr>
                    <w:rStyle w:val="Hyperlink"/>
                    <w:rFonts w:ascii="Times New Roman" w:hAnsi="Times New Roman"/>
                    <w:b/>
                  </w:rPr>
                  <w:t>PROCEDURE OF PRIVATISATION OF THE JAROSLAV ČERNI WATER INSTITUTE, BELGRADE</w:t>
                </w:r>
                <w:r w:rsidR="00786ABC" w:rsidRPr="00F97CB0">
                  <w:rPr>
                    <w:webHidden/>
                  </w:rPr>
                  <w:tab/>
                </w:r>
                <w:r w:rsidR="00786ABC" w:rsidRPr="00F97CB0">
                  <w:rPr>
                    <w:webHidden/>
                  </w:rPr>
                  <w:fldChar w:fldCharType="begin"/>
                </w:r>
                <w:r w:rsidR="00786ABC" w:rsidRPr="00F97CB0">
                  <w:rPr>
                    <w:webHidden/>
                  </w:rPr>
                  <w:instrText xml:space="preserve"> PAGEREF _Toc112590374 \h </w:instrText>
                </w:r>
                <w:r w:rsidR="00786ABC" w:rsidRPr="00F97CB0">
                  <w:rPr>
                    <w:webHidden/>
                  </w:rPr>
                </w:r>
                <w:r w:rsidR="00786ABC" w:rsidRPr="00F97CB0">
                  <w:rPr>
                    <w:webHidden/>
                  </w:rPr>
                  <w:fldChar w:fldCharType="separate"/>
                </w:r>
                <w:r w:rsidR="00786ABC" w:rsidRPr="00F97CB0">
                  <w:rPr>
                    <w:webHidden/>
                  </w:rPr>
                  <w:t>21</w:t>
                </w:r>
                <w:r w:rsidR="00786ABC" w:rsidRPr="00F97CB0">
                  <w:rPr>
                    <w:webHidden/>
                  </w:rPr>
                  <w:fldChar w:fldCharType="end"/>
                </w:r>
              </w:hyperlink>
            </w:p>
            <w:p w14:paraId="180B75FE" w14:textId="1C80E980" w:rsidR="00786ABC" w:rsidRPr="00F97CB0" w:rsidRDefault="00364DE1">
              <w:pPr>
                <w:pStyle w:val="TOC1"/>
                <w:tabs>
                  <w:tab w:val="left" w:pos="440"/>
                  <w:tab w:val="right" w:leader="dot" w:pos="9350"/>
                </w:tabs>
                <w:rPr>
                  <w:rFonts w:eastAsiaTheme="minorEastAsia"/>
                </w:rPr>
              </w:pPr>
              <w:hyperlink w:anchor="_Toc112590375" w:history="1">
                <w:r w:rsidR="00786ABC" w:rsidRPr="00F97CB0">
                  <w:rPr>
                    <w:rStyle w:val="Hyperlink"/>
                    <w:rFonts w:ascii="Times New Roman" w:hAnsi="Times New Roman" w:cs="Times New Roman"/>
                    <w:b/>
                  </w:rPr>
                  <w:t>6.</w:t>
                </w:r>
                <w:r w:rsidR="00786ABC" w:rsidRPr="00F97CB0">
                  <w:rPr>
                    <w:rFonts w:eastAsiaTheme="minorEastAsia"/>
                  </w:rPr>
                  <w:tab/>
                </w:r>
                <w:r w:rsidR="00786ABC" w:rsidRPr="00F97CB0">
                  <w:rPr>
                    <w:rStyle w:val="Hyperlink"/>
                    <w:rFonts w:ascii="Times New Roman" w:hAnsi="Times New Roman"/>
                    <w:b/>
                  </w:rPr>
                  <w:t>EXPERIENCES OF COUNTRIES IN TRANSITION WITH PRIVATISATION OF WATER MANAGEMENT COMPANIES AND INSTITUTES</w:t>
                </w:r>
                <w:r w:rsidR="00786ABC" w:rsidRPr="00F97CB0">
                  <w:rPr>
                    <w:webHidden/>
                  </w:rPr>
                  <w:tab/>
                </w:r>
                <w:r w:rsidR="00786ABC" w:rsidRPr="00F97CB0">
                  <w:rPr>
                    <w:webHidden/>
                  </w:rPr>
                  <w:fldChar w:fldCharType="begin"/>
                </w:r>
                <w:r w:rsidR="00786ABC" w:rsidRPr="00F97CB0">
                  <w:rPr>
                    <w:webHidden/>
                  </w:rPr>
                  <w:instrText xml:space="preserve"> PAGEREF _Toc112590375 \h </w:instrText>
                </w:r>
                <w:r w:rsidR="00786ABC" w:rsidRPr="00F97CB0">
                  <w:rPr>
                    <w:webHidden/>
                  </w:rPr>
                </w:r>
                <w:r w:rsidR="00786ABC" w:rsidRPr="00F97CB0">
                  <w:rPr>
                    <w:webHidden/>
                  </w:rPr>
                  <w:fldChar w:fldCharType="separate"/>
                </w:r>
                <w:r w:rsidR="00786ABC" w:rsidRPr="00F97CB0">
                  <w:rPr>
                    <w:webHidden/>
                  </w:rPr>
                  <w:t>24</w:t>
                </w:r>
                <w:r w:rsidR="00786ABC" w:rsidRPr="00F97CB0">
                  <w:rPr>
                    <w:webHidden/>
                  </w:rPr>
                  <w:fldChar w:fldCharType="end"/>
                </w:r>
              </w:hyperlink>
            </w:p>
            <w:p w14:paraId="0ABA4E0B" w14:textId="61B35CA9" w:rsidR="00786ABC" w:rsidRPr="00F97CB0" w:rsidRDefault="00364DE1">
              <w:pPr>
                <w:pStyle w:val="TOC1"/>
                <w:tabs>
                  <w:tab w:val="left" w:pos="440"/>
                  <w:tab w:val="right" w:leader="dot" w:pos="9350"/>
                </w:tabs>
                <w:rPr>
                  <w:rFonts w:eastAsiaTheme="minorEastAsia"/>
                </w:rPr>
              </w:pPr>
              <w:hyperlink w:anchor="_Toc112590376" w:history="1">
                <w:r w:rsidR="00786ABC" w:rsidRPr="00F97CB0">
                  <w:rPr>
                    <w:rStyle w:val="Hyperlink"/>
                    <w:rFonts w:ascii="Times New Roman" w:hAnsi="Times New Roman" w:cs="Times New Roman"/>
                    <w:b/>
                  </w:rPr>
                  <w:t>7.</w:t>
                </w:r>
                <w:r w:rsidR="00786ABC" w:rsidRPr="00F97CB0">
                  <w:rPr>
                    <w:rFonts w:eastAsiaTheme="minorEastAsia"/>
                  </w:rPr>
                  <w:tab/>
                </w:r>
                <w:r w:rsidR="00786ABC" w:rsidRPr="00F97CB0">
                  <w:rPr>
                    <w:rStyle w:val="Hyperlink"/>
                    <w:rFonts w:ascii="Times New Roman" w:hAnsi="Times New Roman"/>
                    <w:b/>
                  </w:rPr>
                  <w:t>CONCLUSIONS</w:t>
                </w:r>
                <w:r w:rsidR="00786ABC" w:rsidRPr="00F97CB0">
                  <w:rPr>
                    <w:webHidden/>
                  </w:rPr>
                  <w:tab/>
                </w:r>
                <w:r w:rsidR="00786ABC" w:rsidRPr="00F97CB0">
                  <w:rPr>
                    <w:webHidden/>
                  </w:rPr>
                  <w:fldChar w:fldCharType="begin"/>
                </w:r>
                <w:r w:rsidR="00786ABC" w:rsidRPr="00F97CB0">
                  <w:rPr>
                    <w:webHidden/>
                  </w:rPr>
                  <w:instrText xml:space="preserve"> PAGEREF _Toc112590376 \h </w:instrText>
                </w:r>
                <w:r w:rsidR="00786ABC" w:rsidRPr="00F97CB0">
                  <w:rPr>
                    <w:webHidden/>
                  </w:rPr>
                </w:r>
                <w:r w:rsidR="00786ABC" w:rsidRPr="00F97CB0">
                  <w:rPr>
                    <w:webHidden/>
                  </w:rPr>
                  <w:fldChar w:fldCharType="separate"/>
                </w:r>
                <w:r w:rsidR="00786ABC" w:rsidRPr="00F97CB0">
                  <w:rPr>
                    <w:webHidden/>
                  </w:rPr>
                  <w:t>26</w:t>
                </w:r>
                <w:r w:rsidR="00786ABC" w:rsidRPr="00F97CB0">
                  <w:rPr>
                    <w:webHidden/>
                  </w:rPr>
                  <w:fldChar w:fldCharType="end"/>
                </w:r>
              </w:hyperlink>
            </w:p>
            <w:p w14:paraId="2850BB63" w14:textId="3EF84172" w:rsidR="00786ABC" w:rsidRPr="00F97CB0" w:rsidRDefault="00364DE1">
              <w:pPr>
                <w:pStyle w:val="TOC1"/>
                <w:tabs>
                  <w:tab w:val="left" w:pos="440"/>
                  <w:tab w:val="right" w:leader="dot" w:pos="9350"/>
                </w:tabs>
                <w:rPr>
                  <w:rFonts w:eastAsiaTheme="minorEastAsia"/>
                </w:rPr>
              </w:pPr>
              <w:hyperlink w:anchor="_Toc112590377" w:history="1">
                <w:r w:rsidR="00786ABC" w:rsidRPr="00F97CB0">
                  <w:rPr>
                    <w:rStyle w:val="Hyperlink"/>
                    <w:rFonts w:ascii="Times New Roman" w:hAnsi="Times New Roman" w:cs="Times New Roman"/>
                    <w:b/>
                  </w:rPr>
                  <w:t>8.</w:t>
                </w:r>
                <w:r w:rsidR="00786ABC" w:rsidRPr="00F97CB0">
                  <w:rPr>
                    <w:rFonts w:eastAsiaTheme="minorEastAsia"/>
                  </w:rPr>
                  <w:tab/>
                </w:r>
                <w:r w:rsidR="00786ABC" w:rsidRPr="00F97CB0">
                  <w:rPr>
                    <w:rStyle w:val="Hyperlink"/>
                    <w:rFonts w:ascii="Times New Roman" w:hAnsi="Times New Roman"/>
                    <w:b/>
                  </w:rPr>
                  <w:t>RECOMMENDATIONS</w:t>
                </w:r>
                <w:r w:rsidR="00786ABC" w:rsidRPr="00F97CB0">
                  <w:rPr>
                    <w:webHidden/>
                  </w:rPr>
                  <w:tab/>
                </w:r>
                <w:r w:rsidR="00786ABC" w:rsidRPr="00F97CB0">
                  <w:rPr>
                    <w:webHidden/>
                  </w:rPr>
                  <w:fldChar w:fldCharType="begin"/>
                </w:r>
                <w:r w:rsidR="00786ABC" w:rsidRPr="00F97CB0">
                  <w:rPr>
                    <w:webHidden/>
                  </w:rPr>
                  <w:instrText xml:space="preserve"> PAGEREF _Toc112590377 \h </w:instrText>
                </w:r>
                <w:r w:rsidR="00786ABC" w:rsidRPr="00F97CB0">
                  <w:rPr>
                    <w:webHidden/>
                  </w:rPr>
                </w:r>
                <w:r w:rsidR="00786ABC" w:rsidRPr="00F97CB0">
                  <w:rPr>
                    <w:webHidden/>
                  </w:rPr>
                  <w:fldChar w:fldCharType="separate"/>
                </w:r>
                <w:r w:rsidR="00786ABC" w:rsidRPr="00F97CB0">
                  <w:rPr>
                    <w:webHidden/>
                  </w:rPr>
                  <w:t>33</w:t>
                </w:r>
                <w:r w:rsidR="00786ABC" w:rsidRPr="00F97CB0">
                  <w:rPr>
                    <w:webHidden/>
                  </w:rPr>
                  <w:fldChar w:fldCharType="end"/>
                </w:r>
              </w:hyperlink>
            </w:p>
            <w:p w14:paraId="78F900DE" w14:textId="3C319211" w:rsidR="00A179CA" w:rsidRPr="00F97CB0" w:rsidRDefault="00A179CA">
              <w:pPr>
                <w:rPr>
                  <w:rFonts w:ascii="Times New Roman" w:hAnsi="Times New Roman" w:cs="Times New Roman"/>
                </w:rPr>
              </w:pPr>
              <w:r w:rsidRPr="00F97CB0">
                <w:rPr>
                  <w:rFonts w:ascii="Times New Roman" w:hAnsi="Times New Roman" w:cs="Times New Roman"/>
                  <w:b/>
                </w:rPr>
                <w:fldChar w:fldCharType="end"/>
              </w:r>
            </w:p>
          </w:sdtContent>
        </w:sdt>
        <w:p w14:paraId="2A2E213B" w14:textId="4F7D6C97" w:rsidR="00610346" w:rsidRPr="00F97CB0" w:rsidRDefault="00364DE1" w:rsidP="00610346">
          <w:pPr>
            <w:rPr>
              <w:rFonts w:ascii="Times New Roman" w:hAnsi="Times New Roman" w:cs="Times New Roman"/>
              <w:sz w:val="18"/>
              <w:szCs w:val="18"/>
            </w:rPr>
          </w:pPr>
        </w:p>
      </w:sdtContent>
    </w:sdt>
    <w:p w14:paraId="3123D1C0" w14:textId="75F13A20" w:rsidR="008012B4" w:rsidRPr="00F97CB0" w:rsidRDefault="008012B4" w:rsidP="00610346">
      <w:pPr>
        <w:jc w:val="both"/>
        <w:rPr>
          <w:rFonts w:ascii="Times New Roman" w:hAnsi="Times New Roman" w:cs="Times New Roman"/>
        </w:rPr>
      </w:pPr>
    </w:p>
    <w:p w14:paraId="1C8D4B6D" w14:textId="77777777" w:rsidR="008012B4" w:rsidRPr="00F97CB0" w:rsidRDefault="008012B4" w:rsidP="00610346">
      <w:pPr>
        <w:jc w:val="both"/>
        <w:rPr>
          <w:rFonts w:ascii="Times New Roman" w:hAnsi="Times New Roman" w:cs="Times New Roman"/>
        </w:rPr>
      </w:pPr>
    </w:p>
    <w:p w14:paraId="769C776A" w14:textId="77777777" w:rsidR="008012B4" w:rsidRPr="00F97CB0" w:rsidRDefault="008012B4" w:rsidP="00610346">
      <w:pPr>
        <w:jc w:val="both"/>
        <w:rPr>
          <w:rFonts w:ascii="Times New Roman" w:hAnsi="Times New Roman" w:cs="Times New Roman"/>
        </w:rPr>
      </w:pPr>
    </w:p>
    <w:p w14:paraId="289F46A1" w14:textId="77777777" w:rsidR="008012B4" w:rsidRPr="00F97CB0" w:rsidRDefault="008012B4" w:rsidP="00610346">
      <w:pPr>
        <w:jc w:val="both"/>
        <w:rPr>
          <w:rFonts w:ascii="Times New Roman" w:hAnsi="Times New Roman" w:cs="Times New Roman"/>
        </w:rPr>
      </w:pPr>
    </w:p>
    <w:p w14:paraId="27B9CEB6" w14:textId="77777777" w:rsidR="008012B4" w:rsidRPr="00F97CB0" w:rsidRDefault="008012B4" w:rsidP="00610346">
      <w:pPr>
        <w:jc w:val="both"/>
        <w:rPr>
          <w:rFonts w:ascii="Times New Roman" w:hAnsi="Times New Roman" w:cs="Times New Roman"/>
        </w:rPr>
      </w:pPr>
    </w:p>
    <w:p w14:paraId="798C00E3" w14:textId="77777777" w:rsidR="008012B4" w:rsidRPr="00F97CB0" w:rsidRDefault="008012B4" w:rsidP="00610346">
      <w:pPr>
        <w:jc w:val="both"/>
        <w:rPr>
          <w:rFonts w:ascii="Times New Roman" w:hAnsi="Times New Roman" w:cs="Times New Roman"/>
        </w:rPr>
      </w:pPr>
    </w:p>
    <w:p w14:paraId="3EE60B2E" w14:textId="77777777" w:rsidR="008012B4" w:rsidRPr="00F97CB0" w:rsidRDefault="008012B4" w:rsidP="00610346">
      <w:pPr>
        <w:jc w:val="both"/>
        <w:rPr>
          <w:rFonts w:ascii="Times New Roman" w:hAnsi="Times New Roman" w:cs="Times New Roman"/>
        </w:rPr>
      </w:pPr>
    </w:p>
    <w:p w14:paraId="4CDB006C" w14:textId="77777777" w:rsidR="008012B4" w:rsidRPr="00F97CB0" w:rsidRDefault="008012B4" w:rsidP="00610346">
      <w:pPr>
        <w:jc w:val="both"/>
        <w:rPr>
          <w:rFonts w:ascii="Times New Roman" w:hAnsi="Times New Roman" w:cs="Times New Roman"/>
        </w:rPr>
      </w:pPr>
    </w:p>
    <w:p w14:paraId="49722042" w14:textId="77777777" w:rsidR="008012B4" w:rsidRPr="00F97CB0" w:rsidRDefault="008012B4" w:rsidP="00610346">
      <w:pPr>
        <w:jc w:val="both"/>
        <w:rPr>
          <w:rFonts w:ascii="Times New Roman" w:hAnsi="Times New Roman" w:cs="Times New Roman"/>
        </w:rPr>
      </w:pPr>
    </w:p>
    <w:p w14:paraId="1DD4D6D1" w14:textId="77777777" w:rsidR="008012B4" w:rsidRPr="00F97CB0" w:rsidRDefault="008012B4" w:rsidP="00610346">
      <w:pPr>
        <w:jc w:val="both"/>
        <w:rPr>
          <w:rFonts w:ascii="Times New Roman" w:hAnsi="Times New Roman" w:cs="Times New Roman"/>
        </w:rPr>
      </w:pPr>
    </w:p>
    <w:p w14:paraId="3860098C" w14:textId="77777777" w:rsidR="00263DAC" w:rsidRPr="00F97CB0" w:rsidRDefault="00263DAC" w:rsidP="00610346">
      <w:pPr>
        <w:jc w:val="both"/>
        <w:rPr>
          <w:rFonts w:ascii="Times New Roman" w:hAnsi="Times New Roman" w:cs="Times New Roman"/>
        </w:rPr>
        <w:sectPr w:rsidR="00263DAC" w:rsidRPr="00F97CB0" w:rsidSect="00610346">
          <w:footerReference w:type="default" r:id="rId10"/>
          <w:pgSz w:w="12240" w:h="15840"/>
          <w:pgMar w:top="1440" w:right="1440" w:bottom="1440" w:left="1440" w:header="720" w:footer="720" w:gutter="0"/>
          <w:pgNumType w:start="0"/>
          <w:cols w:space="720"/>
          <w:titlePg/>
          <w:docGrid w:linePitch="360"/>
        </w:sectPr>
      </w:pPr>
    </w:p>
    <w:p w14:paraId="59E8B1FC" w14:textId="77598FA0" w:rsidR="001D4D94" w:rsidRPr="00F97CB0" w:rsidRDefault="001D4D94" w:rsidP="00761680">
      <w:pPr>
        <w:pStyle w:val="Heading1"/>
        <w:numPr>
          <w:ilvl w:val="0"/>
          <w:numId w:val="13"/>
        </w:numPr>
        <w:rPr>
          <w:rFonts w:ascii="Times New Roman" w:hAnsi="Times New Roman" w:cs="Times New Roman"/>
          <w:b/>
        </w:rPr>
      </w:pPr>
      <w:bookmarkStart w:id="1" w:name="_Toc112590370"/>
      <w:r w:rsidRPr="00F97CB0">
        <w:rPr>
          <w:rFonts w:ascii="Times New Roman" w:hAnsi="Times New Roman"/>
          <w:b/>
        </w:rPr>
        <w:lastRenderedPageBreak/>
        <w:t>INTRODUCTION</w:t>
      </w:r>
      <w:bookmarkEnd w:id="1"/>
    </w:p>
    <w:p w14:paraId="7BA35ECA" w14:textId="77777777" w:rsidR="006F1CFB" w:rsidRPr="00F97CB0" w:rsidRDefault="006F1CFB" w:rsidP="00610346">
      <w:pPr>
        <w:jc w:val="both"/>
        <w:rPr>
          <w:rFonts w:ascii="Times New Roman" w:hAnsi="Times New Roman" w:cs="Times New Roman"/>
          <w:sz w:val="24"/>
          <w:szCs w:val="24"/>
        </w:rPr>
      </w:pPr>
    </w:p>
    <w:p w14:paraId="27EDB052" w14:textId="05696BF4" w:rsidR="008A2C14" w:rsidRPr="00F97CB0" w:rsidRDefault="003971A3" w:rsidP="000B516B">
      <w:pPr>
        <w:pStyle w:val="NoSpacing"/>
        <w:ind w:firstLine="720"/>
        <w:jc w:val="both"/>
        <w:rPr>
          <w:rFonts w:ascii="Times New Roman" w:hAnsi="Times New Roman" w:cs="Times New Roman"/>
          <w:sz w:val="24"/>
          <w:szCs w:val="24"/>
        </w:rPr>
      </w:pPr>
      <w:r w:rsidRPr="00F97CB0">
        <w:rPr>
          <w:rFonts w:ascii="Times New Roman" w:hAnsi="Times New Roman"/>
          <w:sz w:val="24"/>
        </w:rPr>
        <w:t>Since the very beginning of the civilisation, the issue of water as a natural resource was a prerequisite for well-being of every existing community, in terms both of solving problems rela</w:t>
      </w:r>
      <w:r w:rsidR="000B516B" w:rsidRPr="00F97CB0">
        <w:rPr>
          <w:rFonts w:ascii="Times New Roman" w:hAnsi="Times New Roman"/>
          <w:sz w:val="24"/>
        </w:rPr>
        <w:t>t</w:t>
      </w:r>
      <w:r w:rsidRPr="00F97CB0">
        <w:rPr>
          <w:rFonts w:ascii="Times New Roman" w:hAnsi="Times New Roman"/>
          <w:sz w:val="24"/>
        </w:rPr>
        <w:t>ed to water and putting this natural resource under control for the sake of well-being of the community as a whole. Development, flourishing and collapse of civilisations were directly related to proper and reasonable utilisation of water resources.</w:t>
      </w:r>
      <w:r w:rsidR="00610346" w:rsidRPr="00F97CB0">
        <w:rPr>
          <w:rStyle w:val="FootnoteReference"/>
          <w:rFonts w:ascii="Times New Roman" w:hAnsi="Times New Roman" w:cs="Times New Roman"/>
          <w:sz w:val="24"/>
          <w:szCs w:val="24"/>
        </w:rPr>
        <w:footnoteReference w:id="1"/>
      </w:r>
    </w:p>
    <w:p w14:paraId="5158AC8F" w14:textId="421979F4" w:rsidR="008A2C14" w:rsidRPr="00F97CB0" w:rsidRDefault="001D6F5B" w:rsidP="00610346">
      <w:pPr>
        <w:pStyle w:val="NoSpacing"/>
        <w:ind w:firstLine="720"/>
        <w:jc w:val="both"/>
        <w:rPr>
          <w:rFonts w:ascii="Times New Roman" w:hAnsi="Times New Roman" w:cs="Times New Roman"/>
          <w:sz w:val="24"/>
          <w:szCs w:val="24"/>
        </w:rPr>
      </w:pPr>
      <w:r w:rsidRPr="00F97CB0">
        <w:rPr>
          <w:rFonts w:ascii="Times New Roman" w:hAnsi="Times New Roman"/>
          <w:sz w:val="24"/>
        </w:rPr>
        <w:t>Proper and reasonable utilisation of water resources of each community entails respect for several principles that need to be fulfilled all together for the purpose of protection</w:t>
      </w:r>
      <w:r w:rsidR="000B516B" w:rsidRPr="00F97CB0">
        <w:rPr>
          <w:rFonts w:ascii="Times New Roman" w:hAnsi="Times New Roman"/>
          <w:sz w:val="24"/>
        </w:rPr>
        <w:t>,</w:t>
      </w:r>
      <w:r w:rsidRPr="00F97CB0">
        <w:rPr>
          <w:rFonts w:ascii="Times New Roman" w:hAnsi="Times New Roman"/>
          <w:sz w:val="24"/>
        </w:rPr>
        <w:t xml:space="preserve"> as well as of the prosperity of a society.</w:t>
      </w:r>
    </w:p>
    <w:p w14:paraId="510F70AA" w14:textId="3C8886E8" w:rsidR="00610346" w:rsidRPr="00F97CB0" w:rsidRDefault="001D6F5B" w:rsidP="00A0066F">
      <w:pPr>
        <w:pStyle w:val="NoSpacing"/>
        <w:ind w:firstLine="720"/>
        <w:jc w:val="both"/>
        <w:rPr>
          <w:rFonts w:ascii="Times New Roman" w:hAnsi="Times New Roman" w:cs="Times New Roman"/>
          <w:sz w:val="24"/>
          <w:szCs w:val="24"/>
        </w:rPr>
      </w:pPr>
      <w:r w:rsidRPr="00F97CB0">
        <w:rPr>
          <w:rFonts w:ascii="Times New Roman" w:hAnsi="Times New Roman"/>
          <w:sz w:val="24"/>
        </w:rPr>
        <w:t>First of all, it is the fact that the water is an irreplaceable substance because without it we cannot live, and that the water is public good, belonging to everyone, which is a postulate established in the Roman law (</w:t>
      </w:r>
      <w:r w:rsidRPr="00F97CB0">
        <w:rPr>
          <w:rFonts w:ascii="Times New Roman" w:hAnsi="Times New Roman"/>
          <w:i/>
          <w:sz w:val="24"/>
        </w:rPr>
        <w:t>Flumina omnia publika sunt</w:t>
      </w:r>
      <w:r w:rsidRPr="00F97CB0">
        <w:rPr>
          <w:rFonts w:ascii="Times New Roman" w:hAnsi="Times New Roman"/>
          <w:sz w:val="24"/>
        </w:rPr>
        <w:t xml:space="preserve"> – All rivers are public).</w:t>
      </w:r>
    </w:p>
    <w:p w14:paraId="0B852918" w14:textId="1AE6D9E2" w:rsidR="008A2C14" w:rsidRPr="00F97CB0" w:rsidRDefault="00BC4420" w:rsidP="00610346">
      <w:pPr>
        <w:pStyle w:val="NoSpacing"/>
        <w:ind w:firstLine="720"/>
        <w:jc w:val="both"/>
        <w:rPr>
          <w:rFonts w:ascii="Times New Roman" w:hAnsi="Times New Roman" w:cs="Times New Roman"/>
          <w:sz w:val="24"/>
          <w:szCs w:val="24"/>
        </w:rPr>
      </w:pPr>
      <w:r w:rsidRPr="00F97CB0">
        <w:rPr>
          <w:rFonts w:ascii="Times New Roman" w:hAnsi="Times New Roman"/>
          <w:sz w:val="24"/>
        </w:rPr>
        <w:t>The third principle is based on the democratic disposal of water resources and implies the direct impact of users or consumers on decision</w:t>
      </w:r>
      <w:r w:rsidR="00B97F1D">
        <w:rPr>
          <w:rFonts w:ascii="Times New Roman" w:hAnsi="Times New Roman"/>
          <w:sz w:val="24"/>
        </w:rPr>
        <w:t>-</w:t>
      </w:r>
      <w:r w:rsidRPr="00F97CB0">
        <w:rPr>
          <w:rFonts w:ascii="Times New Roman" w:hAnsi="Times New Roman"/>
          <w:sz w:val="24"/>
        </w:rPr>
        <w:t>making, which is directly related to the fourth principle, which entails uniform and integral management and maintenance of water regime in which all stakeholders should participate, including the general public.</w:t>
      </w:r>
    </w:p>
    <w:p w14:paraId="1E2EF253" w14:textId="5FCA7332" w:rsidR="00970D6A" w:rsidRPr="00F97CB0" w:rsidRDefault="008019E2" w:rsidP="00882CF8">
      <w:pPr>
        <w:pStyle w:val="NoSpacing"/>
        <w:ind w:firstLine="720"/>
        <w:jc w:val="both"/>
        <w:rPr>
          <w:rFonts w:ascii="Times New Roman" w:hAnsi="Times New Roman" w:cs="Times New Roman"/>
          <w:sz w:val="24"/>
          <w:szCs w:val="24"/>
        </w:rPr>
      </w:pPr>
      <w:r w:rsidRPr="00F97CB0">
        <w:rPr>
          <w:rFonts w:ascii="Times New Roman" w:hAnsi="Times New Roman"/>
          <w:sz w:val="24"/>
        </w:rPr>
        <w:t>In addition, reasonable and proper utilisation of water resources is not territorially limited to one community, and that is the ground for the next principle established by the Helsinki Convention on the Protection and Use of Transboundary Watercourses and International Lakes of 17 March 1992, which introduces a binding framework for the protection of surface and ground waters if catchment area includes several countries, and that protection shall be implemented through prevention, control and ecologically sound water management. With the passage of time, due to technological development, nature protection also became an indispensable principle that declares water as an integral and irreplaceable part of the nature, and not only as a natural resource but also as a heritage,</w:t>
      </w:r>
      <w:r w:rsidR="00610346" w:rsidRPr="00F97CB0">
        <w:rPr>
          <w:rStyle w:val="FootnoteReference"/>
          <w:rFonts w:ascii="Times New Roman" w:hAnsi="Times New Roman" w:cs="Times New Roman"/>
          <w:bCs/>
          <w:sz w:val="24"/>
          <w:szCs w:val="24"/>
        </w:rPr>
        <w:footnoteReference w:id="2"/>
      </w:r>
      <w:r w:rsidRPr="00F97CB0">
        <w:rPr>
          <w:rFonts w:ascii="Times New Roman" w:hAnsi="Times New Roman"/>
          <w:sz w:val="24"/>
        </w:rPr>
        <w:t xml:space="preserve"> and for the implementation of that principle European Community adopted the Directive on the water management policy.</w:t>
      </w:r>
      <w:r w:rsidR="00610346" w:rsidRPr="00F97CB0">
        <w:rPr>
          <w:rStyle w:val="FootnoteReference"/>
          <w:rFonts w:ascii="Times New Roman" w:hAnsi="Times New Roman" w:cs="Times New Roman"/>
          <w:sz w:val="24"/>
          <w:szCs w:val="24"/>
        </w:rPr>
        <w:footnoteReference w:id="3"/>
      </w:r>
    </w:p>
    <w:p w14:paraId="6BFAB2FA" w14:textId="5DD6F2D2" w:rsidR="008A2C14" w:rsidRPr="00F97CB0" w:rsidRDefault="003971A3" w:rsidP="00882CF8">
      <w:pPr>
        <w:pStyle w:val="NoSpacing"/>
        <w:ind w:firstLine="720"/>
        <w:jc w:val="both"/>
        <w:rPr>
          <w:rFonts w:ascii="Times New Roman" w:hAnsi="Times New Roman" w:cs="Times New Roman"/>
          <w:sz w:val="24"/>
          <w:szCs w:val="24"/>
        </w:rPr>
      </w:pPr>
      <w:r w:rsidRPr="00F97CB0">
        <w:rPr>
          <w:rFonts w:ascii="Times New Roman" w:hAnsi="Times New Roman"/>
          <w:sz w:val="24"/>
        </w:rPr>
        <w:t>As an element of the environment, water is present in every aspect of our life, without which our quality functioning and survival is impossible. Although water has become the most important natural resource, the way we use it and how we treat it is the matter of concern, so the water resources management and the protection of water quality shall be one of the priority areas of environmental protection.</w:t>
      </w:r>
    </w:p>
    <w:p w14:paraId="084F5F3C" w14:textId="31B9AAE8" w:rsidR="000C60FD" w:rsidRPr="00F97CB0" w:rsidRDefault="00F63AB5" w:rsidP="00882CF8">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Water management shall not endanger human health, fauna and flora, natural and cultural </w:t>
      </w:r>
      <w:r w:rsidR="0037554B" w:rsidRPr="00F97CB0">
        <w:rPr>
          <w:rFonts w:ascii="Times New Roman" w:hAnsi="Times New Roman"/>
          <w:sz w:val="24"/>
        </w:rPr>
        <w:t>goods,</w:t>
      </w:r>
      <w:r w:rsidRPr="00F97CB0">
        <w:rPr>
          <w:rFonts w:ascii="Times New Roman" w:hAnsi="Times New Roman"/>
          <w:sz w:val="24"/>
        </w:rPr>
        <w:t xml:space="preserve"> and wealth, nor the predicted water regimes, and the importance of water resources management and protection of the water quality is the very reason why managing them in an irresponsible manner shall not be allowed.</w:t>
      </w:r>
    </w:p>
    <w:p w14:paraId="0F666F4F" w14:textId="299C4BC1" w:rsidR="00AE5E27" w:rsidRPr="00F97CB0" w:rsidRDefault="00F63AB5" w:rsidP="00882CF8">
      <w:pPr>
        <w:pStyle w:val="NoSpacing"/>
        <w:ind w:firstLine="720"/>
        <w:jc w:val="both"/>
        <w:rPr>
          <w:rFonts w:ascii="Times New Roman" w:hAnsi="Times New Roman" w:cs="Times New Roman"/>
          <w:sz w:val="24"/>
          <w:szCs w:val="24"/>
        </w:rPr>
      </w:pPr>
      <w:r w:rsidRPr="00F97CB0">
        <w:rPr>
          <w:rFonts w:ascii="Times New Roman" w:hAnsi="Times New Roman"/>
          <w:sz w:val="24"/>
        </w:rPr>
        <w:t>Anti-corruption Council believes that it is necessary to look at these priorities in the context of the privati</w:t>
      </w:r>
      <w:r w:rsidR="00AB6C60" w:rsidRPr="00F97CB0">
        <w:rPr>
          <w:rFonts w:ascii="Times New Roman" w:hAnsi="Times New Roman"/>
          <w:sz w:val="24"/>
        </w:rPr>
        <w:t>s</w:t>
      </w:r>
      <w:r w:rsidRPr="00F97CB0">
        <w:rPr>
          <w:rFonts w:ascii="Times New Roman" w:hAnsi="Times New Roman"/>
          <w:sz w:val="24"/>
        </w:rPr>
        <w:t xml:space="preserve">ation of the only </w:t>
      </w:r>
      <w:r w:rsidR="0037554B" w:rsidRPr="00F97CB0">
        <w:rPr>
          <w:rFonts w:ascii="Times New Roman" w:hAnsi="Times New Roman"/>
          <w:sz w:val="24"/>
        </w:rPr>
        <w:t>S</w:t>
      </w:r>
      <w:r w:rsidRPr="00F97CB0">
        <w:rPr>
          <w:rFonts w:ascii="Times New Roman" w:hAnsi="Times New Roman"/>
          <w:sz w:val="24"/>
        </w:rPr>
        <w:t xml:space="preserve">tate </w:t>
      </w:r>
      <w:r w:rsidR="0037554B" w:rsidRPr="00F97CB0">
        <w:rPr>
          <w:rFonts w:ascii="Times New Roman" w:hAnsi="Times New Roman"/>
          <w:sz w:val="24"/>
        </w:rPr>
        <w:t>i</w:t>
      </w:r>
      <w:r w:rsidRPr="00F97CB0">
        <w:rPr>
          <w:rFonts w:ascii="Times New Roman" w:hAnsi="Times New Roman"/>
          <w:sz w:val="24"/>
        </w:rPr>
        <w:t xml:space="preserve">nstitute for </w:t>
      </w:r>
      <w:r w:rsidR="0037554B" w:rsidRPr="00F97CB0">
        <w:rPr>
          <w:rFonts w:ascii="Times New Roman" w:hAnsi="Times New Roman"/>
          <w:sz w:val="24"/>
        </w:rPr>
        <w:t>w</w:t>
      </w:r>
      <w:r w:rsidRPr="00F97CB0">
        <w:rPr>
          <w:rFonts w:ascii="Times New Roman" w:hAnsi="Times New Roman"/>
          <w:sz w:val="24"/>
        </w:rPr>
        <w:t xml:space="preserve">ater </w:t>
      </w:r>
      <w:r w:rsidR="0037554B" w:rsidRPr="00F97CB0">
        <w:rPr>
          <w:rFonts w:ascii="Times New Roman" w:hAnsi="Times New Roman"/>
          <w:sz w:val="24"/>
        </w:rPr>
        <w:t>m</w:t>
      </w:r>
      <w:r w:rsidRPr="00F97CB0">
        <w:rPr>
          <w:rFonts w:ascii="Times New Roman" w:hAnsi="Times New Roman"/>
          <w:sz w:val="24"/>
        </w:rPr>
        <w:t xml:space="preserve">anagement in our country, whose importance, </w:t>
      </w:r>
      <w:r w:rsidR="0037554B" w:rsidRPr="00F97CB0">
        <w:rPr>
          <w:rFonts w:ascii="Times New Roman" w:hAnsi="Times New Roman"/>
          <w:sz w:val="24"/>
        </w:rPr>
        <w:t>reputation,</w:t>
      </w:r>
      <w:r w:rsidRPr="00F97CB0">
        <w:rPr>
          <w:rFonts w:ascii="Times New Roman" w:hAnsi="Times New Roman"/>
          <w:sz w:val="24"/>
        </w:rPr>
        <w:t xml:space="preserve"> and scientific and research work far exceeded the borders of our country.</w:t>
      </w:r>
    </w:p>
    <w:p w14:paraId="6849B242" w14:textId="4CC07E16" w:rsidR="00DA062B" w:rsidRPr="00F97CB0" w:rsidRDefault="00037B77" w:rsidP="00B06ED2">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In March 2002</w:t>
      </w:r>
      <w:r w:rsidR="007227CC" w:rsidRPr="00F97CB0">
        <w:rPr>
          <w:rFonts w:ascii="Times New Roman" w:hAnsi="Times New Roman"/>
          <w:sz w:val="24"/>
        </w:rPr>
        <w:t>,</w:t>
      </w:r>
      <w:r w:rsidRPr="00F97CB0">
        <w:rPr>
          <w:rFonts w:ascii="Times New Roman" w:hAnsi="Times New Roman"/>
          <w:sz w:val="24"/>
        </w:rPr>
        <w:t xml:space="preserve"> the Government of the Republic of Serbia adopted the Decree on determining the water management basis of the Republic of Serbia</w:t>
      </w:r>
      <w:r w:rsidR="00882CF8" w:rsidRPr="00F97CB0">
        <w:rPr>
          <w:rStyle w:val="FootnoteReference"/>
          <w:rFonts w:ascii="Times New Roman" w:hAnsi="Times New Roman" w:cs="Times New Roman"/>
          <w:sz w:val="24"/>
          <w:szCs w:val="24"/>
        </w:rPr>
        <w:footnoteReference w:id="4"/>
      </w:r>
      <w:r w:rsidRPr="00F97CB0">
        <w:rPr>
          <w:rFonts w:ascii="Times New Roman" w:hAnsi="Times New Roman"/>
          <w:sz w:val="24"/>
        </w:rPr>
        <w:t>, and it is the first planning document of the highest level in the field of water</w:t>
      </w:r>
      <w:r w:rsidR="007227CC" w:rsidRPr="00F97CB0">
        <w:rPr>
          <w:rFonts w:ascii="Times New Roman" w:hAnsi="Times New Roman"/>
          <w:sz w:val="24"/>
        </w:rPr>
        <w:t>s</w:t>
      </w:r>
      <w:r w:rsidRPr="00F97CB0">
        <w:rPr>
          <w:rFonts w:ascii="Times New Roman" w:hAnsi="Times New Roman"/>
          <w:sz w:val="24"/>
        </w:rPr>
        <w:t xml:space="preserve"> in the Republic of Serbia as an independent state, which defines the further strategy for the development of water management infrastructure and water management policy.</w:t>
      </w:r>
      <w:r w:rsidR="00761680" w:rsidRPr="00F97CB0">
        <w:rPr>
          <w:rStyle w:val="FootnoteReference"/>
          <w:rFonts w:ascii="Times New Roman" w:hAnsi="Times New Roman" w:cs="Times New Roman"/>
          <w:sz w:val="24"/>
          <w:szCs w:val="24"/>
        </w:rPr>
        <w:footnoteReference w:id="5"/>
      </w:r>
    </w:p>
    <w:p w14:paraId="716308E5" w14:textId="2B576754" w:rsidR="00570B79" w:rsidRPr="00F97CB0" w:rsidRDefault="00576906" w:rsidP="00761680">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 xml:space="preserve">The water management basis was drafted by the </w:t>
      </w:r>
      <w:r w:rsidR="007227CC" w:rsidRPr="00F97CB0">
        <w:rPr>
          <w:rFonts w:ascii="Times New Roman" w:hAnsi="Times New Roman" w:cs="Times New Roman"/>
          <w:sz w:val="24"/>
          <w:szCs w:val="24"/>
        </w:rPr>
        <w:t>J</w:t>
      </w:r>
      <w:r w:rsidRPr="00F97CB0">
        <w:rPr>
          <w:rFonts w:ascii="Times New Roman" w:hAnsi="Times New Roman" w:cs="Times New Roman"/>
          <w:sz w:val="24"/>
          <w:szCs w:val="24"/>
        </w:rPr>
        <w:t>aroslav Černi</w:t>
      </w:r>
      <w:r w:rsidR="007227CC" w:rsidRPr="00F97CB0">
        <w:rPr>
          <w:rFonts w:ascii="Times New Roman" w:hAnsi="Times New Roman" w:cs="Times New Roman"/>
          <w:sz w:val="24"/>
          <w:szCs w:val="24"/>
        </w:rPr>
        <w:t xml:space="preserve"> Water Institute</w:t>
      </w:r>
      <w:r w:rsidRPr="00F97CB0">
        <w:rPr>
          <w:rFonts w:ascii="Times New Roman" w:hAnsi="Times New Roman" w:cs="Times New Roman"/>
          <w:sz w:val="24"/>
          <w:szCs w:val="24"/>
        </w:rPr>
        <w:t xml:space="preserve"> (hereinafter referred to as </w:t>
      </w:r>
      <w:r w:rsidR="007227CC" w:rsidRPr="00F97CB0">
        <w:rPr>
          <w:rFonts w:ascii="Times New Roman" w:hAnsi="Times New Roman" w:cs="Times New Roman"/>
          <w:sz w:val="24"/>
          <w:szCs w:val="24"/>
        </w:rPr>
        <w:t>‘</w:t>
      </w:r>
      <w:r w:rsidRPr="00F97CB0">
        <w:rPr>
          <w:rFonts w:ascii="Times New Roman" w:hAnsi="Times New Roman" w:cs="Times New Roman"/>
          <w:sz w:val="24"/>
          <w:szCs w:val="24"/>
        </w:rPr>
        <w:t>Jaroslav Černi</w:t>
      </w:r>
      <w:r w:rsidR="007227CC" w:rsidRPr="00F97CB0">
        <w:rPr>
          <w:rFonts w:ascii="Times New Roman" w:hAnsi="Times New Roman" w:cs="Times New Roman"/>
          <w:sz w:val="24"/>
          <w:szCs w:val="24"/>
        </w:rPr>
        <w:t>’</w:t>
      </w:r>
      <w:r w:rsidRPr="00F97CB0">
        <w:rPr>
          <w:rFonts w:ascii="Times New Roman" w:hAnsi="Times New Roman" w:cs="Times New Roman"/>
          <w:sz w:val="24"/>
          <w:szCs w:val="24"/>
        </w:rPr>
        <w:t xml:space="preserve">) and it </w:t>
      </w:r>
      <w:r w:rsidR="007227CC" w:rsidRPr="00F97CB0">
        <w:rPr>
          <w:rFonts w:ascii="Times New Roman" w:hAnsi="Times New Roman" w:cs="Times New Roman"/>
          <w:sz w:val="24"/>
          <w:szCs w:val="24"/>
        </w:rPr>
        <w:t>is</w:t>
      </w:r>
      <w:r w:rsidRPr="00F97CB0">
        <w:rPr>
          <w:rFonts w:ascii="Times New Roman" w:hAnsi="Times New Roman" w:cs="Times New Roman"/>
          <w:sz w:val="24"/>
          <w:szCs w:val="24"/>
        </w:rPr>
        <w:t xml:space="preserve"> the basic planning document in the field of waters, which lays down the basic strategy for water use, protection against waters and water protection in the territory of the Republic of Serbia, which is considered as unique water management area.</w:t>
      </w:r>
    </w:p>
    <w:p w14:paraId="1351802D" w14:textId="54055265" w:rsidR="00CE15CC" w:rsidRPr="00F97CB0" w:rsidRDefault="00570B79"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According to the Law on Waters of the Republic of Serbia, waters are a natural goods owned by the Republic of Serbia and, in accordance with the provisions of Article 5 of the Law on Waters, cannot be alienated from public ownership.</w:t>
      </w:r>
      <w:bookmarkStart w:id="2" w:name="_Hlk90633275"/>
      <w:r w:rsidR="00761680" w:rsidRPr="00F97CB0">
        <w:rPr>
          <w:rStyle w:val="FootnoteReference"/>
          <w:rFonts w:ascii="Times New Roman" w:hAnsi="Times New Roman" w:cs="Times New Roman"/>
          <w:sz w:val="24"/>
          <w:szCs w:val="24"/>
        </w:rPr>
        <w:footnoteReference w:id="6"/>
      </w:r>
    </w:p>
    <w:bookmarkEnd w:id="2"/>
    <w:p w14:paraId="7D9F4B0C" w14:textId="32BB31EE" w:rsidR="00761680" w:rsidRPr="00F97CB0" w:rsidRDefault="00C66446"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Water management includes a set of measures and activities aimed at maintaining and improving the water regime, providing the necessary quantities of water of the required quality for different purposes, protection of waters from pollution and protection against the adverse effects of water.</w:t>
      </w:r>
    </w:p>
    <w:p w14:paraId="543401F1" w14:textId="70A4F459" w:rsidR="000C60FD" w:rsidRPr="00F97CB0" w:rsidRDefault="003E7C17"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One of the most important principles on which water management is based is the principle of sustainable development, which implies that water management must be carried out in such a way that the needs of current generations are met without jeopardizing the ability of future generations to meet their needs, that is, that the use of water must be based on the long-term protection of available water resources in terms of quantity and quality.</w:t>
      </w:r>
    </w:p>
    <w:p w14:paraId="56AF0383" w14:textId="2A1317E7" w:rsidR="00393ABB" w:rsidRPr="00F97CB0" w:rsidRDefault="003E7C17" w:rsidP="00761680">
      <w:pPr>
        <w:pStyle w:val="NoSpacing"/>
        <w:ind w:firstLine="720"/>
        <w:jc w:val="both"/>
        <w:rPr>
          <w:rFonts w:ascii="Times New Roman" w:hAnsi="Times New Roman" w:cs="Times New Roman"/>
          <w:b/>
          <w:bCs/>
          <w:sz w:val="24"/>
          <w:szCs w:val="24"/>
        </w:rPr>
      </w:pPr>
      <w:r w:rsidRPr="00F97CB0">
        <w:rPr>
          <w:rFonts w:ascii="Times New Roman" w:hAnsi="Times New Roman"/>
          <w:sz w:val="24"/>
        </w:rPr>
        <w:t xml:space="preserve">In addition to the principle of sustainable development, water management is also based on the principle of integrity in terms of processes in nature and respect for ecosystem; the principle of unity in management of the water system and/or water management in order to achieve maximum economic and social effects; the principle of ensuring protection against the adverse effects of water; the principle that anyone who uses a water assets and a water object as a good of general interest shall pay a real price for its use; the principle according to which anyone whose activities cause water pollution is obliged to meet costs of measures for pollution abatement; the principle of public participation, according to which the public has the right to information about the state of water and the work of competent authorities in the field of waters, as well as the right to be involved in the processes of drafting and adopting water management plans and to control their implementation, and finally the principle of acknowledging the best available techniques, where the best known and available techniques, which are the state-of-the-art achievements in certain areas, must be applied in water management. </w:t>
      </w:r>
      <w:r w:rsidR="00B47EC1" w:rsidRPr="00F97CB0">
        <w:rPr>
          <w:rFonts w:ascii="Times New Roman" w:hAnsi="Times New Roman"/>
          <w:sz w:val="24"/>
        </w:rPr>
        <w:t>All</w:t>
      </w:r>
      <w:r w:rsidRPr="00F97CB0">
        <w:rPr>
          <w:rFonts w:ascii="Times New Roman" w:hAnsi="Times New Roman"/>
          <w:sz w:val="24"/>
        </w:rPr>
        <w:t xml:space="preserve"> the mentioned principles are incorporated into the Water Management Strategy </w:t>
      </w:r>
      <w:r w:rsidR="00B47EC1" w:rsidRPr="00F97CB0">
        <w:rPr>
          <w:rFonts w:ascii="Times New Roman" w:hAnsi="Times New Roman"/>
          <w:sz w:val="24"/>
        </w:rPr>
        <w:t>until</w:t>
      </w:r>
      <w:r w:rsidRPr="00F97CB0">
        <w:rPr>
          <w:rFonts w:ascii="Times New Roman" w:hAnsi="Times New Roman"/>
          <w:sz w:val="24"/>
        </w:rPr>
        <w:t xml:space="preserve"> 2034 as a planning document that lays down the long-term trends in water management in the Republic of Serbia.</w:t>
      </w:r>
      <w:bookmarkStart w:id="3" w:name="_Hlk90633417"/>
      <w:r w:rsidR="00761680" w:rsidRPr="00F97CB0">
        <w:rPr>
          <w:rStyle w:val="FootnoteReference"/>
          <w:rFonts w:ascii="Times New Roman" w:hAnsi="Times New Roman" w:cs="Times New Roman"/>
          <w:sz w:val="24"/>
          <w:szCs w:val="24"/>
        </w:rPr>
        <w:footnoteReference w:id="7"/>
      </w:r>
    </w:p>
    <w:bookmarkEnd w:id="3"/>
    <w:p w14:paraId="7A20B7E9" w14:textId="05BCF3B5" w:rsidR="000C60FD" w:rsidRPr="00F97CB0" w:rsidRDefault="00842CFC"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activity within which water management is carried out is water activity. </w:t>
      </w:r>
      <w:bookmarkStart w:id="4" w:name="_Hlk90379207"/>
      <w:r w:rsidRPr="00F97CB0">
        <w:rPr>
          <w:rFonts w:ascii="Times New Roman" w:hAnsi="Times New Roman"/>
          <w:sz w:val="24"/>
        </w:rPr>
        <w:t xml:space="preserve">Water activity is an activity of general interest that includes the regulation of watercourses and protection against the adverse effects of water, the regulation and use of waters and protection against pollution, and it is carried out in a way that ensures the sustainable use of water, </w:t>
      </w:r>
      <w:r w:rsidR="00B47EC1" w:rsidRPr="00F97CB0">
        <w:rPr>
          <w:rFonts w:ascii="Times New Roman" w:hAnsi="Times New Roman"/>
          <w:sz w:val="24"/>
        </w:rPr>
        <w:t>protects,</w:t>
      </w:r>
      <w:r w:rsidRPr="00F97CB0">
        <w:rPr>
          <w:rFonts w:ascii="Times New Roman" w:hAnsi="Times New Roman"/>
          <w:sz w:val="24"/>
        </w:rPr>
        <w:t xml:space="preserve"> and improves the </w:t>
      </w:r>
      <w:r w:rsidRPr="00F97CB0">
        <w:rPr>
          <w:rFonts w:ascii="Times New Roman" w:hAnsi="Times New Roman"/>
          <w:sz w:val="24"/>
        </w:rPr>
        <w:lastRenderedPageBreak/>
        <w:t xml:space="preserve">aquatic and coastal ecosystems, reduces the adverse effects of floods and </w:t>
      </w:r>
      <w:r w:rsidR="00B47EC1" w:rsidRPr="00F97CB0">
        <w:rPr>
          <w:rFonts w:ascii="Times New Roman" w:hAnsi="Times New Roman"/>
          <w:sz w:val="24"/>
        </w:rPr>
        <w:t>drought,</w:t>
      </w:r>
      <w:r w:rsidRPr="00F97CB0">
        <w:rPr>
          <w:rFonts w:ascii="Times New Roman" w:hAnsi="Times New Roman"/>
          <w:sz w:val="24"/>
        </w:rPr>
        <w:t xml:space="preserve"> and reduces the harmful effects of climate change.</w:t>
      </w:r>
      <w:bookmarkEnd w:id="4"/>
    </w:p>
    <w:p w14:paraId="2ADA1611" w14:textId="3F4B3B40" w:rsidR="000C60FD" w:rsidRPr="00F97CB0" w:rsidRDefault="00842CFC"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Particular attention shall be paid to the protection against the adverse effects of water, which includes the implementation of various works, facilities, </w:t>
      </w:r>
      <w:r w:rsidR="00B47EC1" w:rsidRPr="00F97CB0">
        <w:rPr>
          <w:rFonts w:ascii="Times New Roman" w:hAnsi="Times New Roman"/>
          <w:sz w:val="24"/>
        </w:rPr>
        <w:t>measures,</w:t>
      </w:r>
      <w:r w:rsidRPr="00F97CB0">
        <w:rPr>
          <w:rFonts w:ascii="Times New Roman" w:hAnsi="Times New Roman"/>
          <w:sz w:val="24"/>
        </w:rPr>
        <w:t xml:space="preserve"> and other activities aimed at rational protection of people, natural and man-made material goods and resources from floods and water erosion.</w:t>
      </w:r>
    </w:p>
    <w:p w14:paraId="2C424F26" w14:textId="00AF9F25" w:rsidR="00D1333A" w:rsidRPr="00F97CB0" w:rsidRDefault="00912C0B"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Provision of Article 45 of the Law on Waters stipulates that the protection against the adverse effects of water includes measures and works for protection against flooding by external and internal waters and ice, protection against erosion and flash floods, </w:t>
      </w:r>
      <w:r w:rsidR="00B47EC1" w:rsidRPr="00F97CB0">
        <w:rPr>
          <w:rFonts w:ascii="Times New Roman" w:hAnsi="Times New Roman"/>
          <w:sz w:val="24"/>
        </w:rPr>
        <w:t xml:space="preserve">and </w:t>
      </w:r>
      <w:r w:rsidRPr="00F97CB0">
        <w:rPr>
          <w:rFonts w:ascii="Times New Roman" w:hAnsi="Times New Roman"/>
          <w:sz w:val="24"/>
        </w:rPr>
        <w:t>rectification of the consequences of such impact of waters.</w:t>
      </w:r>
    </w:p>
    <w:p w14:paraId="354E9D23" w14:textId="6C78F10E" w:rsidR="00151D29" w:rsidRPr="00F97CB0" w:rsidRDefault="004F5AED"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Floods are among the biggest natural disasters, and lately, due to an increasing manifestation of climate change, the risk of floods is much higher than before. Due to their frequency, the importance of flood prevention in our country has been increasing in recent years.</w:t>
      </w:r>
    </w:p>
    <w:p w14:paraId="5773EB46" w14:textId="3265EB99" w:rsidR="00D1333A" w:rsidRPr="00F97CB0" w:rsidRDefault="004F5AED"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frightful effects of floods are primarily reflected in endangering people's lives and their safety and in causing damage to property, </w:t>
      </w:r>
      <w:r w:rsidR="00B47EC1" w:rsidRPr="00F97CB0">
        <w:rPr>
          <w:rFonts w:ascii="Times New Roman" w:hAnsi="Times New Roman"/>
          <w:sz w:val="24"/>
        </w:rPr>
        <w:t>infrastructure,</w:t>
      </w:r>
      <w:r w:rsidRPr="00F97CB0">
        <w:rPr>
          <w:rFonts w:ascii="Times New Roman" w:hAnsi="Times New Roman"/>
          <w:sz w:val="24"/>
        </w:rPr>
        <w:t xml:space="preserve"> and economic activities. In addition, floods can have a very harmful effect on human health and the environment.</w:t>
      </w:r>
    </w:p>
    <w:p w14:paraId="117EA240" w14:textId="2AF1838A" w:rsidR="00842CFC" w:rsidRPr="00F97CB0" w:rsidRDefault="004F5AED"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The catastrophic floods that took place in May 2014 in the Republic of Serbia, which were the result of extreme hydro-meteorological conditions, caused enormous damage and human casualties. According to the data of the State Audit Institution from the Report “Flood Prevention in the Republic of Serbia”, it is stated that in May 2014 alone, the 24 most affected municipalities in the Republic of Serbia suffered material damage in the amount of about 1.5 billion euros, and that for each dinar invested in flood prevention, damages can be reduced in range of 3 to 9 dinars.</w:t>
      </w:r>
    </w:p>
    <w:p w14:paraId="335559C2" w14:textId="6D2DCAC8" w:rsidR="002D4A05" w:rsidRPr="00F97CB0" w:rsidRDefault="00EC2D90"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Pursuant to the Constitution of the Republic of Serbia, the system of protection and improvement of environment, which includes water, as one of the most important compartments of the environment, shall be organised by the Republic of Serbia. At the same time, the highest legal act guarantees the right to healthy environment and the right to timely and full information about the state of environment.</w:t>
      </w:r>
      <w:r w:rsidR="00761680" w:rsidRPr="00F97CB0">
        <w:rPr>
          <w:rStyle w:val="FootnoteReference"/>
          <w:rFonts w:ascii="Times New Roman" w:hAnsi="Times New Roman" w:cs="Times New Roman"/>
          <w:sz w:val="24"/>
          <w:szCs w:val="24"/>
        </w:rPr>
        <w:footnoteReference w:id="8"/>
      </w:r>
    </w:p>
    <w:p w14:paraId="605AC223" w14:textId="45125083" w:rsidR="007D5C0E" w:rsidRPr="00F97CB0" w:rsidRDefault="009A02CC"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The Law on Waters lays down the legal status of waters, integrated water management, management of water land and water facilities, sources and methods of financing water activity, supervision of the enforcement of that law, as well as other matters significant for water management.</w:t>
      </w:r>
    </w:p>
    <w:p w14:paraId="327AB9FC" w14:textId="33A3643D" w:rsidR="009A02CC" w:rsidRPr="00F97CB0" w:rsidRDefault="009A02CC" w:rsidP="00761680">
      <w:pPr>
        <w:pStyle w:val="NoSpacing"/>
        <w:ind w:firstLine="720"/>
        <w:jc w:val="both"/>
        <w:rPr>
          <w:rFonts w:ascii="Times New Roman" w:hAnsi="Times New Roman" w:cs="Times New Roman"/>
          <w:b/>
          <w:bCs/>
          <w:sz w:val="24"/>
          <w:szCs w:val="24"/>
        </w:rPr>
      </w:pPr>
      <w:r w:rsidRPr="00F97CB0">
        <w:rPr>
          <w:rFonts w:ascii="Times New Roman" w:hAnsi="Times New Roman"/>
          <w:sz w:val="24"/>
        </w:rPr>
        <w:t>The 2010 Law on Waters</w:t>
      </w:r>
      <w:r w:rsidR="00761680" w:rsidRPr="00F97CB0">
        <w:rPr>
          <w:rStyle w:val="FootnoteReference"/>
          <w:rFonts w:ascii="Times New Roman" w:hAnsi="Times New Roman" w:cs="Times New Roman"/>
          <w:sz w:val="24"/>
          <w:szCs w:val="24"/>
        </w:rPr>
        <w:footnoteReference w:id="9"/>
      </w:r>
      <w:r w:rsidRPr="00F97CB0">
        <w:rPr>
          <w:rFonts w:ascii="Times New Roman" w:hAnsi="Times New Roman"/>
          <w:bCs/>
          <w:sz w:val="24"/>
        </w:rPr>
        <w:t xml:space="preserve"> </w:t>
      </w:r>
      <w:r w:rsidRPr="00F97CB0">
        <w:rPr>
          <w:rFonts w:ascii="Times New Roman" w:hAnsi="Times New Roman"/>
          <w:sz w:val="24"/>
        </w:rPr>
        <w:t xml:space="preserve">stipulated that </w:t>
      </w:r>
      <w:r w:rsidRPr="00F97CB0">
        <w:rPr>
          <w:rFonts w:ascii="Times New Roman" w:hAnsi="Times New Roman"/>
          <w:b/>
          <w:bCs/>
          <w:sz w:val="24"/>
        </w:rPr>
        <w:t xml:space="preserve">water is a </w:t>
      </w:r>
      <w:r w:rsidR="006A76C0" w:rsidRPr="00F97CB0">
        <w:rPr>
          <w:rFonts w:ascii="Times New Roman" w:hAnsi="Times New Roman"/>
          <w:sz w:val="24"/>
        </w:rPr>
        <w:t>s</w:t>
      </w:r>
      <w:r w:rsidRPr="00F97CB0">
        <w:rPr>
          <w:rFonts w:ascii="Times New Roman" w:hAnsi="Times New Roman"/>
          <w:sz w:val="24"/>
        </w:rPr>
        <w:t>tate-owned</w:t>
      </w:r>
      <w:r w:rsidRPr="00F97CB0">
        <w:rPr>
          <w:rFonts w:ascii="Times New Roman" w:hAnsi="Times New Roman"/>
          <w:b/>
          <w:bCs/>
          <w:sz w:val="24"/>
        </w:rPr>
        <w:t xml:space="preserve"> good of general interest</w:t>
      </w:r>
      <w:r w:rsidRPr="00F97CB0">
        <w:rPr>
          <w:rFonts w:ascii="Times New Roman" w:hAnsi="Times New Roman"/>
          <w:sz w:val="24"/>
        </w:rPr>
        <w:t>, but the status of water was changed by the 2016 Law on Waters</w:t>
      </w:r>
      <w:r w:rsidR="00761680" w:rsidRPr="00F97CB0">
        <w:rPr>
          <w:rStyle w:val="FootnoteReference"/>
          <w:rFonts w:ascii="Times New Roman" w:hAnsi="Times New Roman" w:cs="Times New Roman"/>
          <w:sz w:val="24"/>
          <w:szCs w:val="24"/>
        </w:rPr>
        <w:footnoteReference w:id="10"/>
      </w:r>
      <w:r w:rsidR="006A76C0" w:rsidRPr="00F97CB0">
        <w:rPr>
          <w:rFonts w:ascii="Times New Roman" w:hAnsi="Times New Roman"/>
          <w:sz w:val="24"/>
        </w:rPr>
        <w:t xml:space="preserve"> </w:t>
      </w:r>
      <w:r w:rsidRPr="00F97CB0">
        <w:rPr>
          <w:rFonts w:ascii="Times New Roman" w:hAnsi="Times New Roman"/>
          <w:b/>
          <w:bCs/>
          <w:sz w:val="24"/>
        </w:rPr>
        <w:t>and waters are no longer specified goods of general interest but as natural goods</w:t>
      </w:r>
      <w:r w:rsidRPr="00F97CB0">
        <w:rPr>
          <w:rFonts w:ascii="Times New Roman" w:hAnsi="Times New Roman"/>
          <w:sz w:val="24"/>
        </w:rPr>
        <w:t>.</w:t>
      </w:r>
    </w:p>
    <w:p w14:paraId="0204EE21" w14:textId="6AA77A0B" w:rsidR="00761680" w:rsidRPr="00F97CB0" w:rsidRDefault="001F16E1" w:rsidP="00761680">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Natural goods and goods of general interest are issues of public property, regulated by the Law on Public Property</w:t>
      </w:r>
      <w:r w:rsidR="00761680" w:rsidRPr="00F97CB0">
        <w:rPr>
          <w:rFonts w:ascii="Times New Roman" w:hAnsi="Times New Roman" w:cs="Times New Roman"/>
          <w:sz w:val="24"/>
          <w:szCs w:val="24"/>
          <w:vertAlign w:val="superscript"/>
        </w:rPr>
        <w:footnoteReference w:id="11"/>
      </w:r>
      <w:r w:rsidRPr="00F97CB0">
        <w:rPr>
          <w:rFonts w:ascii="Times New Roman" w:hAnsi="Times New Roman" w:cs="Times New Roman"/>
          <w:sz w:val="24"/>
          <w:szCs w:val="24"/>
        </w:rPr>
        <w:t>, which stipulates that publicly-owned goods of general interest are objects specified as goods of general interest by the law (agricultural land, forests, forest land, water land, water objects, protected natural goods etc.), and shall be subject to a special protection.</w:t>
      </w:r>
    </w:p>
    <w:p w14:paraId="10DE46EE" w14:textId="1E4947E3" w:rsidR="00A83705" w:rsidRPr="00F97CB0" w:rsidRDefault="00811561"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Natural resources are, inter alia, waters, watercourses and their sources, groundwater resources, geothermal and other resources and other goods that are defined by a specific law as </w:t>
      </w:r>
      <w:r w:rsidRPr="00F97CB0">
        <w:rPr>
          <w:rFonts w:ascii="Times New Roman" w:hAnsi="Times New Roman"/>
          <w:sz w:val="24"/>
        </w:rPr>
        <w:lastRenderedPageBreak/>
        <w:t>natural resources, that may be subject to concession or use and/or exploitation rights in accordance with a specific law.</w:t>
      </w:r>
    </w:p>
    <w:p w14:paraId="1D105573" w14:textId="7F1EF535" w:rsidR="00565EA9" w:rsidRPr="00F97CB0" w:rsidRDefault="00811561"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The Law on Public Property also provides that goods of general interest shall be managed conscientiously, lawfully and taking into account exclusively public interest, while the manner and conditions of exploitation and management of natural resources shall be regulated by a specific law.</w:t>
      </w:r>
    </w:p>
    <w:p w14:paraId="3EBAFE09" w14:textId="7C578D21" w:rsidR="00E62EC8" w:rsidRPr="00F97CB0" w:rsidRDefault="00E62EC8" w:rsidP="00761680">
      <w:pPr>
        <w:pStyle w:val="NoSpacing"/>
        <w:ind w:firstLine="720"/>
        <w:jc w:val="both"/>
        <w:rPr>
          <w:rFonts w:ascii="Times New Roman" w:hAnsi="Times New Roman" w:cs="Times New Roman"/>
          <w:b/>
          <w:bCs/>
          <w:sz w:val="24"/>
          <w:szCs w:val="24"/>
        </w:rPr>
      </w:pPr>
      <w:r w:rsidRPr="00F97CB0">
        <w:rPr>
          <w:rFonts w:ascii="Times New Roman" w:hAnsi="Times New Roman"/>
          <w:b/>
          <w:sz w:val="24"/>
        </w:rPr>
        <w:t>Change of the status of waters in the Republic of Serbia, made by the 2016 Law on Waters, when water was specified as a natural resource instead as a good of general interest that is subject to a special protection, enabled exploitation of water resources, awarding concessions and entitlement for water use.</w:t>
      </w:r>
    </w:p>
    <w:p w14:paraId="36B807B9" w14:textId="16AAE2D7" w:rsidR="00565EA9" w:rsidRPr="00F97CB0" w:rsidRDefault="00565EA9" w:rsidP="00610346">
      <w:pPr>
        <w:spacing w:before="100" w:beforeAutospacing="1" w:after="100" w:afterAutospacing="1" w:line="240" w:lineRule="auto"/>
        <w:jc w:val="both"/>
        <w:rPr>
          <w:rFonts w:ascii="Times New Roman" w:hAnsi="Times New Roman" w:cs="Times New Roman"/>
          <w:b/>
          <w:sz w:val="24"/>
          <w:szCs w:val="24"/>
        </w:rPr>
      </w:pPr>
    </w:p>
    <w:p w14:paraId="2A22915C" w14:textId="011700AD" w:rsidR="00F77476" w:rsidRPr="00F97CB0" w:rsidRDefault="003127D2" w:rsidP="00AB5E99">
      <w:pPr>
        <w:pStyle w:val="Heading1"/>
        <w:numPr>
          <w:ilvl w:val="0"/>
          <w:numId w:val="13"/>
        </w:numPr>
        <w:jc w:val="both"/>
        <w:rPr>
          <w:rFonts w:ascii="Times New Roman" w:hAnsi="Times New Roman" w:cs="Times New Roman"/>
          <w:b/>
        </w:rPr>
      </w:pPr>
      <w:bookmarkStart w:id="5" w:name="_Toc112590371"/>
      <w:r w:rsidRPr="00F97CB0">
        <w:rPr>
          <w:rFonts w:ascii="Times New Roman" w:hAnsi="Times New Roman"/>
          <w:b/>
        </w:rPr>
        <w:t>ACTIVITIES AND ORGANISATION</w:t>
      </w:r>
      <w:r w:rsidR="00471F90" w:rsidRPr="00F97CB0">
        <w:rPr>
          <w:rFonts w:ascii="Times New Roman" w:hAnsi="Times New Roman"/>
          <w:b/>
        </w:rPr>
        <w:t>AL STRUCTURE</w:t>
      </w:r>
      <w:r w:rsidRPr="00F97CB0">
        <w:rPr>
          <w:rFonts w:ascii="Times New Roman" w:hAnsi="Times New Roman"/>
          <w:b/>
        </w:rPr>
        <w:t xml:space="preserve"> OF THE JAROSLAV ČERNI WATER INSTITUTE</w:t>
      </w:r>
      <w:bookmarkEnd w:id="5"/>
    </w:p>
    <w:p w14:paraId="27EE5118" w14:textId="77777777" w:rsidR="00B13C74" w:rsidRPr="00F97CB0" w:rsidRDefault="00B13C74" w:rsidP="00610346">
      <w:pPr>
        <w:jc w:val="both"/>
        <w:rPr>
          <w:rFonts w:ascii="Times New Roman" w:hAnsi="Times New Roman" w:cs="Times New Roman"/>
          <w:sz w:val="24"/>
          <w:szCs w:val="24"/>
        </w:rPr>
      </w:pPr>
    </w:p>
    <w:p w14:paraId="5D67B7E9" w14:textId="72131AD9" w:rsidR="00761680" w:rsidRPr="00F97CB0" w:rsidRDefault="00DE7E1C"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legal predecessor of the Jaroslav Černi Institute was the Hydrological Institute within the Serbian Academy of Sciences and Arts, founded in 1947, as well as the Hydraulic Laboratory within the </w:t>
      </w:r>
      <w:r w:rsidR="00471F90" w:rsidRPr="00F97CB0">
        <w:rPr>
          <w:rFonts w:ascii="Times New Roman" w:hAnsi="Times New Roman"/>
          <w:sz w:val="24"/>
        </w:rPr>
        <w:t>former</w:t>
      </w:r>
      <w:r w:rsidRPr="00F97CB0">
        <w:rPr>
          <w:rFonts w:ascii="Times New Roman" w:hAnsi="Times New Roman"/>
          <w:sz w:val="24"/>
        </w:rPr>
        <w:t xml:space="preserve"> Ministry of electric power industry of the Federal National Republic of Yugoslavia. After the establishment of these institutions, an integration and merger with other institutions took place, as well as status change, and new institution was renamed Office for Hydroelectric Energy in 1950 and Hydrotechnical Institute Engineer Jaroslav Černi in 1953.</w:t>
      </w:r>
    </w:p>
    <w:p w14:paraId="4F2BDABC" w14:textId="7FBB15F1" w:rsidR="000C60FD" w:rsidRPr="00F97CB0" w:rsidRDefault="00AD6A74"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It was established as a scientific research organisation Jaroslav Černi Water Institute under the Decree of the National Republic of Serbia Executive Council enacted on 11 December 1958, by merger of Hydrotechnical Institute Engineer Jaroslav Černi and the Institute for Water Management of the National Republic of Serbia.</w:t>
      </w:r>
    </w:p>
    <w:p w14:paraId="2A617F58" w14:textId="39DF60C1" w:rsidR="00B75B33" w:rsidRPr="00F97CB0" w:rsidRDefault="00986239"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Institute, as a leading scientific and research organisation in the field of waters in Serbia and the region, operates by carrying out a very wide range of activities. The key activity of the Institute, that includes different types of research in the field of waters and the environment, is carried out in several laboratories, including the chemical and biological laboratory of the Institute, which is accredited for the sampling and testing of water, </w:t>
      </w:r>
      <w:r w:rsidR="00B34F87" w:rsidRPr="00F97CB0">
        <w:rPr>
          <w:rFonts w:ascii="Times New Roman" w:hAnsi="Times New Roman"/>
          <w:sz w:val="24"/>
        </w:rPr>
        <w:t>sediment,</w:t>
      </w:r>
      <w:r w:rsidRPr="00F97CB0">
        <w:rPr>
          <w:rFonts w:ascii="Times New Roman" w:hAnsi="Times New Roman"/>
          <w:sz w:val="24"/>
        </w:rPr>
        <w:t xml:space="preserve"> and soil.</w:t>
      </w:r>
    </w:p>
    <w:p w14:paraId="028C8811" w14:textId="04FC3F86" w:rsidR="009A7932" w:rsidRPr="00F97CB0" w:rsidRDefault="00B64DC8"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 addition, experts from the Institute conducted </w:t>
      </w:r>
      <w:r w:rsidR="00B34F87" w:rsidRPr="00F97CB0">
        <w:rPr>
          <w:rFonts w:ascii="Times New Roman" w:hAnsi="Times New Roman"/>
          <w:sz w:val="24"/>
        </w:rPr>
        <w:t>many</w:t>
      </w:r>
      <w:r w:rsidRPr="00F97CB0">
        <w:rPr>
          <w:rFonts w:ascii="Times New Roman" w:hAnsi="Times New Roman"/>
          <w:sz w:val="24"/>
        </w:rPr>
        <w:t xml:space="preserve"> strategic environmental assessments and environmental impact assessments, among others, the multidisciplinary program of monitoring and measurement of the effect on the environment of hydropower plants Đerdap I and Đerdap II, where the reports of the Institute were the basis for issuing a water permit for the operation of this system.</w:t>
      </w:r>
    </w:p>
    <w:p w14:paraId="53DFE048" w14:textId="5222F3E6" w:rsidR="00761680" w:rsidRPr="00F97CB0" w:rsidRDefault="003127D2" w:rsidP="0076168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Based on the research and studies of waters that the Institute carried out on the territory of Yugoslavia, the most important hydrological objects and systems in </w:t>
      </w:r>
      <w:r w:rsidR="00B34F87" w:rsidRPr="00F97CB0">
        <w:rPr>
          <w:rFonts w:ascii="Times New Roman" w:hAnsi="Times New Roman"/>
          <w:sz w:val="24"/>
        </w:rPr>
        <w:t>this area</w:t>
      </w:r>
      <w:r w:rsidRPr="00F97CB0">
        <w:rPr>
          <w:rFonts w:ascii="Times New Roman" w:hAnsi="Times New Roman"/>
          <w:sz w:val="24"/>
        </w:rPr>
        <w:t xml:space="preserve"> were built within the projects in which the Institute participated, for instance, the hydropower plants and navigation system Đerdap, the Danube-Tisa-Danube hydrosystem. etc.</w:t>
      </w:r>
    </w:p>
    <w:p w14:paraId="3A948FC8" w14:textId="1A495368" w:rsidR="003127D2" w:rsidRPr="00F97CB0" w:rsidRDefault="003127D2" w:rsidP="00B75B33">
      <w:pPr>
        <w:pStyle w:val="NoSpacing"/>
        <w:ind w:firstLine="720"/>
        <w:jc w:val="both"/>
        <w:rPr>
          <w:rFonts w:ascii="Times New Roman" w:hAnsi="Times New Roman" w:cs="Times New Roman"/>
          <w:sz w:val="24"/>
          <w:szCs w:val="24"/>
        </w:rPr>
      </w:pPr>
      <w:r w:rsidRPr="00F97CB0">
        <w:rPr>
          <w:rFonts w:ascii="Times New Roman" w:hAnsi="Times New Roman"/>
          <w:sz w:val="24"/>
          <w:szCs w:val="24"/>
        </w:rPr>
        <w:t xml:space="preserve">Experts from the Institute are involved in the activities of defence against floods and ice, embankment breaches, dam demolitions, and after such events, they carry out analyses on the basis of which they submit proposals related to remedying of damage and solutions that would prevent </w:t>
      </w:r>
      <w:r w:rsidRPr="00F97CB0">
        <w:rPr>
          <w:rFonts w:ascii="Times New Roman" w:hAnsi="Times New Roman"/>
          <w:sz w:val="24"/>
          <w:szCs w:val="24"/>
        </w:rPr>
        <w:lastRenderedPageBreak/>
        <w:t>such events in the future. At the same time, the Institute participates in operational plans for defence against floods, and it is in charge of ice monitoring and urgent research works and the development of solutions for urgent remedial works.</w:t>
      </w:r>
    </w:p>
    <w:p w14:paraId="00A0B71F" w14:textId="51C35D50" w:rsidR="003333D7" w:rsidRPr="00F97CB0" w:rsidRDefault="005435E3"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The Institute actively participates in solving water supply problems, determines the capacities of water sources, conducts water quality analyses, provides services in the field of design of hydrotechnical structures for dams, water systems, water sources, plants for collection and purification of drinking water, waste-water treatment plants, hydropower plants. The institute also provides engineering services, carries out tasks that require experience in solving irrigation and drainage problems, as well as environmental protection activities.</w:t>
      </w:r>
    </w:p>
    <w:p w14:paraId="78BD3847" w14:textId="3256EB76" w:rsidR="005435E3" w:rsidRPr="00F97CB0" w:rsidRDefault="009A7932"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As mentioned above, one of the activities of the Institute is the preparation of strategic and planning documents in the field of waters and flood risk management, and, inter alia, </w:t>
      </w:r>
      <w:r w:rsidR="001B13D3" w:rsidRPr="00F97CB0">
        <w:rPr>
          <w:rFonts w:ascii="Times New Roman" w:hAnsi="Times New Roman"/>
          <w:sz w:val="24"/>
        </w:rPr>
        <w:t>Water Management Basis</w:t>
      </w:r>
      <w:r w:rsidRPr="00F97CB0">
        <w:rPr>
          <w:rFonts w:ascii="Times New Roman" w:hAnsi="Times New Roman"/>
          <w:sz w:val="24"/>
        </w:rPr>
        <w:t xml:space="preserve"> of the Republic of Serbia, preliminary flood risk assessment for the territory of Serbia, as well as hazard and risk maps were prepared by the Jaroslav Černi Water Institute.</w:t>
      </w:r>
    </w:p>
    <w:p w14:paraId="5352E7A1" w14:textId="1AFC5D58" w:rsidR="000C60FD" w:rsidRPr="00F97CB0" w:rsidRDefault="003F44CE" w:rsidP="003333D7">
      <w:pPr>
        <w:pStyle w:val="NoSpacing"/>
        <w:ind w:firstLine="720"/>
        <w:jc w:val="both"/>
        <w:rPr>
          <w:rFonts w:ascii="Times New Roman" w:hAnsi="Times New Roman" w:cs="Times New Roman"/>
        </w:rPr>
      </w:pPr>
      <w:r w:rsidRPr="00F97CB0">
        <w:rPr>
          <w:rFonts w:ascii="Times New Roman" w:hAnsi="Times New Roman"/>
          <w:sz w:val="24"/>
        </w:rPr>
        <w:t xml:space="preserve">In the period of transition in 1990s, Jaroslav Černi Water Institute was organised as </w:t>
      </w:r>
      <w:r w:rsidR="001B13D3" w:rsidRPr="00F97CB0">
        <w:rPr>
          <w:rFonts w:ascii="Times New Roman" w:hAnsi="Times New Roman"/>
          <w:sz w:val="24"/>
        </w:rPr>
        <w:t>an</w:t>
      </w:r>
      <w:r w:rsidRPr="00F97CB0">
        <w:rPr>
          <w:rFonts w:ascii="Times New Roman" w:hAnsi="Times New Roman"/>
          <w:sz w:val="24"/>
        </w:rPr>
        <w:t xml:space="preserve"> unlimited liability stock company on the basis of the Decision on organising socially owned company as a mixed ownership stock company.</w:t>
      </w:r>
    </w:p>
    <w:p w14:paraId="6CE7E8F6" w14:textId="5C7F24C3" w:rsidR="000C60FD" w:rsidRPr="00F97CB0" w:rsidRDefault="001F1D97"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Under the Law on Enterprises, the Company was reorgani</w:t>
      </w:r>
      <w:r w:rsidR="00AB6C60" w:rsidRPr="00F97CB0">
        <w:rPr>
          <w:rFonts w:ascii="Times New Roman" w:hAnsi="Times New Roman"/>
          <w:sz w:val="24"/>
        </w:rPr>
        <w:t>s</w:t>
      </w:r>
      <w:r w:rsidRPr="00F97CB0">
        <w:rPr>
          <w:rFonts w:ascii="Times New Roman" w:hAnsi="Times New Roman"/>
          <w:sz w:val="24"/>
        </w:rPr>
        <w:t>ed and became a joint stock company, which was entered in the register of the Commercial Court in Belgrade, and later, in 2005, under the Law on Registration of Business Entities, the Company was entered in the register of the Agency for Business Registers in Belgrade.</w:t>
      </w:r>
    </w:p>
    <w:p w14:paraId="6BD9EDC3" w14:textId="6ED85733" w:rsidR="00E64D22" w:rsidRPr="00F97CB0" w:rsidRDefault="0084063D"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On the basis of the Decision from 2007, the </w:t>
      </w:r>
      <w:r w:rsidR="00AB6C60" w:rsidRPr="00F97CB0">
        <w:rPr>
          <w:rFonts w:ascii="Times New Roman" w:hAnsi="Times New Roman"/>
          <w:sz w:val="24"/>
        </w:rPr>
        <w:t>Company</w:t>
      </w:r>
      <w:r w:rsidRPr="00F97CB0">
        <w:rPr>
          <w:rFonts w:ascii="Times New Roman" w:hAnsi="Times New Roman"/>
          <w:sz w:val="24"/>
        </w:rPr>
        <w:t xml:space="preserve"> was accredited by the Ministry of Science as a research and development institute. The founder of the Company is the Republic of Serbia, and the Government of the Republic of Serbia, by Conclusion 05 no. 46-49502007 of 13 September 2007, established that the share of state property in the funds used by the Jaroslav Černi Water Institute shall be 92% of the capital, while 8% consists of private capital.</w:t>
      </w:r>
    </w:p>
    <w:p w14:paraId="2AD2288A" w14:textId="01F877BF" w:rsidR="004C0FCE" w:rsidRPr="00F97CB0" w:rsidRDefault="00E64D22" w:rsidP="004F2E52">
      <w:pPr>
        <w:pStyle w:val="NoSpacing"/>
        <w:ind w:firstLine="720"/>
        <w:jc w:val="both"/>
        <w:rPr>
          <w:rFonts w:ascii="Times New Roman" w:hAnsi="Times New Roman" w:cs="Times New Roman"/>
          <w:sz w:val="24"/>
          <w:szCs w:val="24"/>
        </w:rPr>
      </w:pPr>
      <w:r w:rsidRPr="00F97CB0">
        <w:rPr>
          <w:rFonts w:ascii="Times New Roman" w:hAnsi="Times New Roman"/>
          <w:sz w:val="24"/>
        </w:rPr>
        <w:t>With the Republic Directorate for the Property of the Republic of Serbia the company signed the Agreement No. 46-215/06 of 26 August 2007 on the share of state property in funds used by the Jaroslav Černi Water Institute.</w:t>
      </w:r>
    </w:p>
    <w:p w14:paraId="000DBA71" w14:textId="688DBDCA" w:rsidR="003F44CE" w:rsidRPr="00F97CB0" w:rsidRDefault="00303798"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In 2013, by the decision of the Board of Directors of the Company, a business unit called Jaroslav Černi Business Unit, Republika Srpska was established in Bosnia and Herzegovina, and was entered in the court register at the District Court of East Sarajevo.</w:t>
      </w:r>
    </w:p>
    <w:p w14:paraId="03625DBA" w14:textId="40C4A042" w:rsidR="00BD2C30" w:rsidRPr="00F97CB0" w:rsidRDefault="000152F8"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management bodies of the Company are the General Meeting, the Board of </w:t>
      </w:r>
      <w:r w:rsidR="00EA5832" w:rsidRPr="00F97CB0">
        <w:rPr>
          <w:rFonts w:ascii="Times New Roman" w:hAnsi="Times New Roman"/>
          <w:sz w:val="24"/>
        </w:rPr>
        <w:t>Directors,</w:t>
      </w:r>
      <w:r w:rsidRPr="00F97CB0">
        <w:rPr>
          <w:rFonts w:ascii="Times New Roman" w:hAnsi="Times New Roman"/>
          <w:sz w:val="24"/>
        </w:rPr>
        <w:t xml:space="preserve"> and the Managing Director. The General Meeting of the Institute consists of owners of state-owned and private capital with 11 members, where ten members are representatives of state-owned capital, while one member of the General Meeting is a representative of private capital.</w:t>
      </w:r>
    </w:p>
    <w:p w14:paraId="1396D47D" w14:textId="6C98E6C5" w:rsidR="000152F8" w:rsidRPr="00F97CB0" w:rsidRDefault="000152F8"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The Board of Directors consists of seven executive directors, and one of them acts as the Managing Director. Executive directors are appointed by the General Meeting for a four-year term of office, which shall be renewable.</w:t>
      </w:r>
    </w:p>
    <w:p w14:paraId="781FB82C" w14:textId="14E6CBD4" w:rsidR="001F17BD" w:rsidRPr="00F97CB0" w:rsidRDefault="00DE2E8C" w:rsidP="001F17BD">
      <w:pPr>
        <w:pStyle w:val="NoSpacing"/>
        <w:ind w:firstLine="720"/>
        <w:jc w:val="both"/>
        <w:rPr>
          <w:rFonts w:ascii="Times New Roman" w:hAnsi="Times New Roman" w:cs="Times New Roman"/>
          <w:sz w:val="24"/>
          <w:szCs w:val="24"/>
        </w:rPr>
      </w:pPr>
      <w:r w:rsidRPr="00F97CB0">
        <w:rPr>
          <w:rFonts w:ascii="Times New Roman" w:hAnsi="Times New Roman"/>
          <w:sz w:val="24"/>
        </w:rPr>
        <w:t>In the period until 2015, the Company was functioning and was organi</w:t>
      </w:r>
      <w:r w:rsidR="00AB6C60" w:rsidRPr="00F97CB0">
        <w:rPr>
          <w:rFonts w:ascii="Times New Roman" w:hAnsi="Times New Roman"/>
          <w:sz w:val="24"/>
        </w:rPr>
        <w:t>s</w:t>
      </w:r>
      <w:r w:rsidRPr="00F97CB0">
        <w:rPr>
          <w:rFonts w:ascii="Times New Roman" w:hAnsi="Times New Roman"/>
          <w:sz w:val="24"/>
        </w:rPr>
        <w:t>ed in such a way that the members of the General Meeting were the Company's employees, and then, on the basis of the on Conclusion 24 no. 119-3129/15 of 26 March 2015 the Government of the Republic of Serbia appointed four representatives of state-owned capital.</w:t>
      </w:r>
    </w:p>
    <w:p w14:paraId="334E7431" w14:textId="27A3C652" w:rsidR="004E463D" w:rsidRPr="00F97CB0" w:rsidRDefault="00DE2E8C" w:rsidP="001F17BD">
      <w:pPr>
        <w:pStyle w:val="NoSpacing"/>
        <w:ind w:firstLine="720"/>
        <w:jc w:val="both"/>
        <w:rPr>
          <w:rFonts w:ascii="Times New Roman" w:hAnsi="Times New Roman" w:cs="Times New Roman"/>
          <w:sz w:val="24"/>
          <w:szCs w:val="24"/>
        </w:rPr>
      </w:pPr>
      <w:r w:rsidRPr="00F97CB0">
        <w:rPr>
          <w:rFonts w:ascii="Times New Roman" w:hAnsi="Times New Roman"/>
          <w:sz w:val="24"/>
        </w:rPr>
        <w:t>On November 5, 2015, the newly elected members of the General Meeting of the Company adopted the Decision no. 3396/2 on the appointment of seven executive directors of the Company as members of the Company's Board, and after that also the Decision no. 3396/3 on the appointment of the Managing Director.</w:t>
      </w:r>
    </w:p>
    <w:p w14:paraId="2A2BB2A5" w14:textId="6CEE1F6A" w:rsidR="00C51E04" w:rsidRPr="00F97CB0" w:rsidRDefault="00F32D01" w:rsidP="003333D7">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 xml:space="preserve">There are 235 employees in the Institute, out of which 17 have a PhD, 13 have a </w:t>
      </w:r>
      <w:r w:rsidR="005F57C1" w:rsidRPr="00F97CB0">
        <w:rPr>
          <w:rFonts w:ascii="Times New Roman" w:hAnsi="Times New Roman"/>
          <w:sz w:val="24"/>
        </w:rPr>
        <w:t>master’s</w:t>
      </w:r>
      <w:r w:rsidRPr="00F97CB0">
        <w:rPr>
          <w:rFonts w:ascii="Times New Roman" w:hAnsi="Times New Roman"/>
          <w:sz w:val="24"/>
        </w:rPr>
        <w:t xml:space="preserve"> degree, 136 have a university degree, 10 have a college degree and 59 persons are without higher education.</w:t>
      </w:r>
    </w:p>
    <w:p w14:paraId="5CDFF026" w14:textId="77777777" w:rsidR="005A4939" w:rsidRPr="00F97CB0" w:rsidRDefault="005A4939" w:rsidP="00761680">
      <w:pPr>
        <w:pStyle w:val="NoSpacing"/>
        <w:jc w:val="both"/>
        <w:rPr>
          <w:rFonts w:ascii="Times New Roman" w:hAnsi="Times New Roman" w:cs="Times New Roman"/>
          <w:b/>
          <w:bCs/>
          <w:sz w:val="24"/>
          <w:szCs w:val="24"/>
        </w:rPr>
      </w:pPr>
    </w:p>
    <w:p w14:paraId="13CC0268" w14:textId="77777777" w:rsidR="003333D7" w:rsidRPr="00F97CB0" w:rsidRDefault="003333D7" w:rsidP="00610346">
      <w:pPr>
        <w:ind w:right="55"/>
        <w:jc w:val="both"/>
        <w:rPr>
          <w:rFonts w:ascii="Times New Roman" w:hAnsi="Times New Roman" w:cs="Times New Roman"/>
          <w:b/>
          <w:bCs/>
        </w:rPr>
      </w:pPr>
    </w:p>
    <w:p w14:paraId="7917F195" w14:textId="45831637" w:rsidR="00566EE9" w:rsidRPr="00F97CB0" w:rsidRDefault="0067485E" w:rsidP="004F2E52">
      <w:pPr>
        <w:pStyle w:val="Heading1"/>
        <w:numPr>
          <w:ilvl w:val="0"/>
          <w:numId w:val="13"/>
        </w:numPr>
        <w:rPr>
          <w:rFonts w:ascii="Times New Roman" w:hAnsi="Times New Roman" w:cs="Times New Roman"/>
          <w:b/>
        </w:rPr>
      </w:pPr>
      <w:bookmarkStart w:id="6" w:name="_Toc112590372"/>
      <w:r w:rsidRPr="00F97CB0">
        <w:rPr>
          <w:rFonts w:ascii="Times New Roman" w:hAnsi="Times New Roman"/>
          <w:b/>
        </w:rPr>
        <w:t>ASSETS OF THE JAROSLAV ČERNI WATER INSTITUTE</w:t>
      </w:r>
      <w:bookmarkEnd w:id="6"/>
      <w:r w:rsidRPr="00F97CB0">
        <w:rPr>
          <w:rFonts w:ascii="Times New Roman" w:hAnsi="Times New Roman"/>
          <w:b/>
          <w:color w:val="000000"/>
          <w:sz w:val="24"/>
        </w:rPr>
        <w:t xml:space="preserve"> </w:t>
      </w:r>
    </w:p>
    <w:p w14:paraId="0333C759" w14:textId="77777777" w:rsidR="005A4939" w:rsidRPr="00F97CB0" w:rsidRDefault="005A4939" w:rsidP="00610346">
      <w:pPr>
        <w:ind w:right="55"/>
        <w:jc w:val="both"/>
        <w:rPr>
          <w:rFonts w:ascii="Times New Roman" w:eastAsia="Calibri" w:hAnsi="Times New Roman" w:cs="Times New Roman"/>
        </w:rPr>
      </w:pPr>
    </w:p>
    <w:p w14:paraId="7B9E9D95" w14:textId="3FBFDC31" w:rsidR="003333D7" w:rsidRPr="00F97CB0" w:rsidRDefault="00566EE9"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assets of the Jaroslav Černi Water Institute consist of intangible assets in the form of multi-year software licenses and other rights, immovable property such as building land, buildings, plants, equipment, advances for fixed assets, long-term financial placements, </w:t>
      </w:r>
      <w:r w:rsidR="00E90A88" w:rsidRPr="00F97CB0">
        <w:rPr>
          <w:rFonts w:ascii="Times New Roman" w:hAnsi="Times New Roman"/>
          <w:sz w:val="24"/>
        </w:rPr>
        <w:t>i.e.,</w:t>
      </w:r>
      <w:r w:rsidRPr="00F97CB0">
        <w:rPr>
          <w:rFonts w:ascii="Times New Roman" w:hAnsi="Times New Roman"/>
          <w:sz w:val="24"/>
        </w:rPr>
        <w:t xml:space="preserve"> share in the capital of subsidiary legal entities, stocks of the materials, spare parts, paid advances for stocks and services, sales receivables, receivables from specific works, cash assets. On the basis of the </w:t>
      </w:r>
      <w:r w:rsidR="00E90A88" w:rsidRPr="00F97CB0">
        <w:rPr>
          <w:rFonts w:ascii="Times New Roman" w:hAnsi="Times New Roman"/>
          <w:sz w:val="24"/>
        </w:rPr>
        <w:t>above-mentioned</w:t>
      </w:r>
      <w:r w:rsidRPr="00F97CB0">
        <w:rPr>
          <w:rFonts w:ascii="Times New Roman" w:hAnsi="Times New Roman"/>
          <w:sz w:val="24"/>
        </w:rPr>
        <w:t xml:space="preserve"> Agreement No. 46-215/06 on the share of state property in funds used by the Jaroslav Černi Water Institute, that the Company concluded with the Republic Directorate for the Property of the Republic of Serbia, it was confirmed that the share of state property in the assets of the Institute shall be 92% of the capital of the Institute. Accordingly, it comprises right to use immovable property owned by the Republic of Serbia, existing on the cadastar parcel 7821 registered in the Cadastral Municipality Rakovica, land register folio no. 566, namely the building of the hydraulic laboratory, buildings of the pavilion B and </w:t>
      </w:r>
      <w:r w:rsidR="00E90A88" w:rsidRPr="00F97CB0">
        <w:rPr>
          <w:rFonts w:ascii="Times New Roman" w:hAnsi="Times New Roman"/>
          <w:sz w:val="24"/>
        </w:rPr>
        <w:t xml:space="preserve">pavilion </w:t>
      </w:r>
      <w:r w:rsidRPr="00F97CB0">
        <w:rPr>
          <w:rFonts w:ascii="Times New Roman" w:hAnsi="Times New Roman"/>
          <w:sz w:val="24"/>
        </w:rPr>
        <w:t xml:space="preserve">A, as well as other immovable property, movables that are parts of the </w:t>
      </w:r>
      <w:r w:rsidR="00E90A88" w:rsidRPr="00F97CB0">
        <w:rPr>
          <w:rFonts w:ascii="Times New Roman" w:hAnsi="Times New Roman"/>
          <w:sz w:val="24"/>
        </w:rPr>
        <w:t>‘</w:t>
      </w:r>
      <w:r w:rsidRPr="00F97CB0">
        <w:rPr>
          <w:rFonts w:ascii="Times New Roman" w:hAnsi="Times New Roman"/>
          <w:sz w:val="24"/>
        </w:rPr>
        <w:t>special equipment</w:t>
      </w:r>
      <w:r w:rsidR="00E90A88" w:rsidRPr="00F97CB0">
        <w:rPr>
          <w:rFonts w:ascii="Times New Roman" w:hAnsi="Times New Roman"/>
          <w:sz w:val="24"/>
        </w:rPr>
        <w:t>’</w:t>
      </w:r>
      <w:r w:rsidRPr="00F97CB0">
        <w:rPr>
          <w:rFonts w:ascii="Times New Roman" w:hAnsi="Times New Roman"/>
          <w:sz w:val="24"/>
        </w:rPr>
        <w:t>, cash assets and securities.</w:t>
      </w:r>
    </w:p>
    <w:p w14:paraId="7C6D7467" w14:textId="3E6F10E7" w:rsidR="00E14717" w:rsidRPr="00F97CB0" w:rsidRDefault="001D45A9"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According to data from the Company’s 2015 books, the area of building land used by the Jaroslav Černi Water Institute covers total area of 4 ha, 28 ares and 62 m</w:t>
      </w:r>
      <w:r w:rsidRPr="00F97CB0">
        <w:rPr>
          <w:rFonts w:ascii="Times New Roman" w:hAnsi="Times New Roman"/>
          <w:sz w:val="24"/>
          <w:vertAlign w:val="superscript"/>
        </w:rPr>
        <w:t>2</w:t>
      </w:r>
      <w:r w:rsidRPr="00F97CB0">
        <w:rPr>
          <w:rFonts w:ascii="Times New Roman" w:hAnsi="Times New Roman"/>
          <w:sz w:val="24"/>
        </w:rPr>
        <w:t>, located on the casdastar parcel 782, registered in the real estate folio in the land register No. 497 CM Rakovica.</w:t>
      </w:r>
    </w:p>
    <w:p w14:paraId="1B9811E0" w14:textId="45E8443C" w:rsidR="003333D7" w:rsidRPr="00F97CB0" w:rsidRDefault="00E14717" w:rsidP="00D14CC7">
      <w:pPr>
        <w:pStyle w:val="NoSpacing"/>
        <w:ind w:firstLine="720"/>
        <w:jc w:val="both"/>
        <w:rPr>
          <w:rFonts w:ascii="Times New Roman" w:hAnsi="Times New Roman" w:cs="Times New Roman"/>
          <w:sz w:val="24"/>
          <w:szCs w:val="24"/>
        </w:rPr>
      </w:pPr>
      <w:r w:rsidRPr="00F97CB0">
        <w:rPr>
          <w:rFonts w:ascii="Times New Roman" w:hAnsi="Times New Roman"/>
          <w:sz w:val="24"/>
        </w:rPr>
        <w:t>Jaroslav Černi Water Institute, in accordance with the Law on Planning and Construction, submitted to the Republic Geodetic Authority, the Real Estate Cadastre Administration of Belgrade request for the conversion of the right of use on the mentioned urban building land into ownership and the registration of the right of ownership in favour of the Company in 2016.</w:t>
      </w:r>
    </w:p>
    <w:p w14:paraId="26B886AF" w14:textId="77777777" w:rsidR="00D14CC7" w:rsidRPr="00F97CB0" w:rsidRDefault="00D14CC7" w:rsidP="00D14CC7">
      <w:pPr>
        <w:pStyle w:val="NoSpacing"/>
        <w:ind w:firstLine="720"/>
        <w:jc w:val="both"/>
        <w:rPr>
          <w:rFonts w:ascii="Times New Roman" w:hAnsi="Times New Roman" w:cs="Times New Roman"/>
          <w:sz w:val="24"/>
          <w:szCs w:val="24"/>
        </w:rPr>
      </w:pPr>
    </w:p>
    <w:p w14:paraId="3DCCC21C" w14:textId="7A8E9539" w:rsidR="00E14717" w:rsidRPr="00F97CB0" w:rsidRDefault="00C72F32" w:rsidP="003333D7">
      <w:pPr>
        <w:pStyle w:val="NoSpacing"/>
        <w:ind w:firstLine="720"/>
        <w:jc w:val="both"/>
        <w:rPr>
          <w:rFonts w:ascii="Times New Roman" w:hAnsi="Times New Roman" w:cs="Times New Roman"/>
        </w:rPr>
      </w:pPr>
      <w:r w:rsidRPr="00F97CB0">
        <w:rPr>
          <w:rFonts w:ascii="Times New Roman" w:hAnsi="Times New Roman"/>
          <w:sz w:val="24"/>
        </w:rPr>
        <w:t>As regards buildings of the Jaroslav Černi Water Institute, the Company has the right to use the following buildings: laboratories, Hall – laboratory buildings, buildings of the pavilions A and B and other buildings.</w:t>
      </w:r>
    </w:p>
    <w:p w14:paraId="55C6C1DD" w14:textId="6314F40C" w:rsidR="00A5255C" w:rsidRPr="00F97CB0" w:rsidRDefault="00A5255C" w:rsidP="00610346">
      <w:pPr>
        <w:jc w:val="both"/>
        <w:rPr>
          <w:rFonts w:ascii="Times New Roman" w:hAnsi="Times New Roman" w:cs="Times New Roman"/>
          <w:sz w:val="24"/>
          <w:szCs w:val="24"/>
        </w:rPr>
      </w:pPr>
    </w:p>
    <w:p w14:paraId="06A0902A" w14:textId="4AFFAD55" w:rsidR="0018105F" w:rsidRPr="00F97CB0" w:rsidRDefault="007D7684" w:rsidP="00010E60">
      <w:pPr>
        <w:pStyle w:val="Heading1"/>
        <w:numPr>
          <w:ilvl w:val="0"/>
          <w:numId w:val="13"/>
        </w:numPr>
        <w:rPr>
          <w:rFonts w:ascii="Times New Roman" w:hAnsi="Times New Roman" w:cs="Times New Roman"/>
          <w:b/>
        </w:rPr>
      </w:pPr>
      <w:bookmarkStart w:id="7" w:name="_Toc112590373"/>
      <w:r w:rsidRPr="00F97CB0">
        <w:rPr>
          <w:rFonts w:ascii="Times New Roman" w:hAnsi="Times New Roman"/>
          <w:b/>
        </w:rPr>
        <w:t>THE VALUE OF THE JAROSLAV ČERNI WATER INSTITUTE</w:t>
      </w:r>
      <w:bookmarkEnd w:id="7"/>
    </w:p>
    <w:p w14:paraId="0615CD4F" w14:textId="77777777" w:rsidR="003333D7" w:rsidRPr="00F97CB0" w:rsidRDefault="003333D7" w:rsidP="00610346">
      <w:pPr>
        <w:jc w:val="both"/>
        <w:rPr>
          <w:rFonts w:ascii="Times New Roman" w:hAnsi="Times New Roman" w:cs="Times New Roman"/>
          <w:sz w:val="24"/>
          <w:szCs w:val="24"/>
        </w:rPr>
      </w:pPr>
    </w:p>
    <w:p w14:paraId="78B58ECC" w14:textId="115ABDD5" w:rsidR="00221301" w:rsidRPr="00F97CB0" w:rsidRDefault="0018105F" w:rsidP="003333D7">
      <w:pPr>
        <w:pStyle w:val="NoSpacing"/>
        <w:ind w:firstLine="720"/>
        <w:jc w:val="both"/>
        <w:rPr>
          <w:rFonts w:ascii="Times New Roman" w:hAnsi="Times New Roman" w:cs="Times New Roman"/>
          <w:sz w:val="24"/>
          <w:szCs w:val="24"/>
        </w:rPr>
      </w:pPr>
      <w:r w:rsidRPr="00F97CB0">
        <w:rPr>
          <w:rFonts w:ascii="Times New Roman" w:hAnsi="Times New Roman"/>
          <w:sz w:val="24"/>
        </w:rPr>
        <w:t>As regards the value of the Company, first of all, it has to be emphasized that it is, on the one hand, immeasurable, bearing in mind the importance of this Institute as a leading scientific and research organi</w:t>
      </w:r>
      <w:r w:rsidR="00AB6C60" w:rsidRPr="00F97CB0">
        <w:rPr>
          <w:rFonts w:ascii="Times New Roman" w:hAnsi="Times New Roman"/>
          <w:sz w:val="24"/>
        </w:rPr>
        <w:t>s</w:t>
      </w:r>
      <w:r w:rsidRPr="00F97CB0">
        <w:rPr>
          <w:rFonts w:ascii="Times New Roman" w:hAnsi="Times New Roman"/>
          <w:sz w:val="24"/>
        </w:rPr>
        <w:t>ation in the field of waters in the entire region, which has incorporated its knowledge and expertise, from its foundation until today, in all the most important domains of water activity in the Republic of Serbia.</w:t>
      </w:r>
    </w:p>
    <w:p w14:paraId="28710A45" w14:textId="06D2D631" w:rsidR="00263DAC" w:rsidRPr="00F97CB0" w:rsidRDefault="0018105F" w:rsidP="00010E60">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 xml:space="preserve">On the other hand, the value of intellectual property and scientific and research work in the past period, since the very founding of the Institute as a leading scientific and research institution known throughout the world, cannot be adequately </w:t>
      </w:r>
      <w:r w:rsidR="001C7810" w:rsidRPr="00F97CB0">
        <w:rPr>
          <w:rFonts w:ascii="Times New Roman" w:hAnsi="Times New Roman"/>
          <w:sz w:val="24"/>
        </w:rPr>
        <w:t xml:space="preserve">determined </w:t>
      </w:r>
      <w:r w:rsidRPr="00F97CB0">
        <w:rPr>
          <w:rFonts w:ascii="Times New Roman" w:hAnsi="Times New Roman"/>
          <w:sz w:val="24"/>
        </w:rPr>
        <w:t>or evaluated.</w:t>
      </w:r>
    </w:p>
    <w:p w14:paraId="2E854A01" w14:textId="4FB27239" w:rsidR="008968A3" w:rsidRPr="00F97CB0" w:rsidRDefault="0010396E" w:rsidP="00010E60">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 xml:space="preserve">The Anti-Corruption Council of the Government of the Republic of Serbia addressed the Ministry of Economy with a request for the delivery of the report of the authorised assessor, according to whose findings the capital of the Jaroslav Černi Water Institute was estimated at 2,800,000 euros, </w:t>
      </w:r>
      <w:r w:rsidR="001C7810" w:rsidRPr="00F97CB0">
        <w:rPr>
          <w:rFonts w:ascii="Times New Roman" w:hAnsi="Times New Roman" w:cs="Times New Roman"/>
          <w:sz w:val="24"/>
          <w:szCs w:val="24"/>
        </w:rPr>
        <w:t>i.e.,</w:t>
      </w:r>
      <w:r w:rsidRPr="00F97CB0">
        <w:rPr>
          <w:rFonts w:ascii="Times New Roman" w:hAnsi="Times New Roman" w:cs="Times New Roman"/>
          <w:sz w:val="24"/>
          <w:szCs w:val="24"/>
        </w:rPr>
        <w:t xml:space="preserve"> 2,576,066.92 euros, which was its initial value during the publication of the public call for its privatisation, </w:t>
      </w:r>
      <w:r w:rsidR="001C7810" w:rsidRPr="00F97CB0">
        <w:rPr>
          <w:rFonts w:ascii="Times New Roman" w:hAnsi="Times New Roman" w:cs="Times New Roman"/>
          <w:sz w:val="24"/>
          <w:szCs w:val="24"/>
        </w:rPr>
        <w:t>i.e.,</w:t>
      </w:r>
      <w:r w:rsidRPr="00F97CB0">
        <w:rPr>
          <w:rFonts w:ascii="Times New Roman" w:hAnsi="Times New Roman" w:cs="Times New Roman"/>
          <w:sz w:val="24"/>
          <w:szCs w:val="24"/>
        </w:rPr>
        <w:t xml:space="preserve"> sale, </w:t>
      </w:r>
      <w:r w:rsidR="001C7810" w:rsidRPr="00F97CB0">
        <w:rPr>
          <w:rFonts w:ascii="Times New Roman" w:hAnsi="Times New Roman" w:cs="Times New Roman"/>
          <w:sz w:val="24"/>
          <w:szCs w:val="24"/>
        </w:rPr>
        <w:t xml:space="preserve">which was </w:t>
      </w:r>
      <w:r w:rsidRPr="00F97CB0">
        <w:rPr>
          <w:rFonts w:ascii="Times New Roman" w:hAnsi="Times New Roman" w:cs="Times New Roman"/>
          <w:sz w:val="24"/>
          <w:szCs w:val="24"/>
        </w:rPr>
        <w:t>published on 1 October 2021.</w:t>
      </w:r>
    </w:p>
    <w:p w14:paraId="46F3B99C" w14:textId="04B2CFE9" w:rsidR="00CD4110" w:rsidRPr="00F97CB0" w:rsidRDefault="001D45A9" w:rsidP="003333D7">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The Ministry of Economy, by its decision</w:t>
      </w:r>
      <w:r w:rsidR="00FD54F2" w:rsidRPr="00F97CB0">
        <w:rPr>
          <w:rStyle w:val="FootnoteReference"/>
          <w:rFonts w:ascii="Times New Roman" w:hAnsi="Times New Roman" w:cs="Times New Roman"/>
          <w:sz w:val="24"/>
          <w:szCs w:val="24"/>
        </w:rPr>
        <w:footnoteReference w:id="12"/>
      </w:r>
      <w:r w:rsidRPr="00F97CB0">
        <w:rPr>
          <w:rFonts w:ascii="Times New Roman" w:hAnsi="Times New Roman" w:cs="Times New Roman"/>
          <w:sz w:val="24"/>
          <w:szCs w:val="24"/>
        </w:rPr>
        <w:t xml:space="preserve">, rejected the request of the Anti-Corruption Council to exercise the right to access information of public importance, in which the Council requested the delivery of the report of the authorised assessor on the total estimated value of the capital of the Jaroslav Černi Water Institute on 31 December 2020, by which the value of the Institute's capital was estimated at 2,800,000 euros, </w:t>
      </w:r>
      <w:r w:rsidR="005F6449" w:rsidRPr="00F97CB0">
        <w:rPr>
          <w:rFonts w:ascii="Times New Roman" w:hAnsi="Times New Roman" w:cs="Times New Roman"/>
          <w:sz w:val="24"/>
          <w:szCs w:val="24"/>
        </w:rPr>
        <w:t>i.e.,</w:t>
      </w:r>
      <w:r w:rsidRPr="00F97CB0">
        <w:rPr>
          <w:rFonts w:ascii="Times New Roman" w:hAnsi="Times New Roman" w:cs="Times New Roman"/>
          <w:sz w:val="24"/>
          <w:szCs w:val="24"/>
        </w:rPr>
        <w:t xml:space="preserve"> 2,576,066.92 euros.</w:t>
      </w:r>
    </w:p>
    <w:p w14:paraId="19F9EBBF" w14:textId="2D44AA4C" w:rsidR="001F17BD" w:rsidRPr="00F97CB0" w:rsidRDefault="009E63E7" w:rsidP="001F17BD">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 xml:space="preserve">In the explanation of the </w:t>
      </w:r>
      <w:r w:rsidR="005F6449" w:rsidRPr="00F97CB0">
        <w:rPr>
          <w:rFonts w:ascii="Times New Roman" w:hAnsi="Times New Roman" w:cs="Times New Roman"/>
          <w:sz w:val="24"/>
          <w:szCs w:val="24"/>
        </w:rPr>
        <w:t>above-mentioned</w:t>
      </w:r>
      <w:r w:rsidRPr="00F97CB0">
        <w:rPr>
          <w:rFonts w:ascii="Times New Roman" w:hAnsi="Times New Roman" w:cs="Times New Roman"/>
          <w:sz w:val="24"/>
          <w:szCs w:val="24"/>
        </w:rPr>
        <w:t xml:space="preserve"> decision, the Ministry of Economy stated that it has no powers on the basis of which it would evaluate or check the submitted data on the valuation of all assets and liabilities and capital, and that this document serves only for the purpose of decision-making on the model and method of privatisation, the initial price and measure for the preparation and reduction of burden of the privatisation</w:t>
      </w:r>
      <w:r w:rsidR="007D59AA">
        <w:rPr>
          <w:rFonts w:ascii="Times New Roman" w:hAnsi="Times New Roman" w:cs="Times New Roman"/>
          <w:sz w:val="24"/>
          <w:szCs w:val="24"/>
        </w:rPr>
        <w:t xml:space="preserve"> entity</w:t>
      </w:r>
      <w:r w:rsidRPr="00F97CB0">
        <w:rPr>
          <w:rFonts w:ascii="Times New Roman" w:hAnsi="Times New Roman" w:cs="Times New Roman"/>
          <w:sz w:val="24"/>
          <w:szCs w:val="24"/>
        </w:rPr>
        <w:t>.</w:t>
      </w:r>
    </w:p>
    <w:p w14:paraId="132CF183" w14:textId="266F0888" w:rsidR="00AF6502" w:rsidRPr="00F97CB0" w:rsidRDefault="009E63E7" w:rsidP="001F17BD">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In the explanation, it is also stated that on 30 June 2021, the privatisation</w:t>
      </w:r>
      <w:r w:rsidR="007D59AA">
        <w:rPr>
          <w:rFonts w:ascii="Times New Roman" w:hAnsi="Times New Roman" w:cs="Times New Roman"/>
          <w:sz w:val="24"/>
          <w:szCs w:val="24"/>
        </w:rPr>
        <w:t xml:space="preserve"> entity</w:t>
      </w:r>
      <w:r w:rsidRPr="00F97CB0">
        <w:rPr>
          <w:rFonts w:ascii="Times New Roman" w:hAnsi="Times New Roman" w:cs="Times New Roman"/>
          <w:sz w:val="24"/>
          <w:szCs w:val="24"/>
        </w:rPr>
        <w:t xml:space="preserve"> submitted to the Ministry of Economy the Report on the assessment of the fair value of the assets, liabilities and capital of the privatisation</w:t>
      </w:r>
      <w:r w:rsidR="007D59AA">
        <w:rPr>
          <w:rFonts w:ascii="Times New Roman" w:hAnsi="Times New Roman" w:cs="Times New Roman"/>
          <w:sz w:val="24"/>
          <w:szCs w:val="24"/>
        </w:rPr>
        <w:t xml:space="preserve"> entity</w:t>
      </w:r>
      <w:r w:rsidRPr="00F97CB0">
        <w:rPr>
          <w:rFonts w:ascii="Times New Roman" w:hAnsi="Times New Roman" w:cs="Times New Roman"/>
          <w:sz w:val="24"/>
          <w:szCs w:val="24"/>
        </w:rPr>
        <w:t xml:space="preserve"> </w:t>
      </w:r>
      <w:r w:rsidR="005F6449" w:rsidRPr="00F97CB0">
        <w:rPr>
          <w:rFonts w:ascii="Times New Roman" w:hAnsi="Times New Roman" w:cs="Times New Roman"/>
          <w:sz w:val="24"/>
          <w:szCs w:val="24"/>
        </w:rPr>
        <w:t>as of</w:t>
      </w:r>
      <w:r w:rsidRPr="00F97CB0">
        <w:rPr>
          <w:rFonts w:ascii="Times New Roman" w:hAnsi="Times New Roman" w:cs="Times New Roman"/>
          <w:sz w:val="24"/>
          <w:szCs w:val="24"/>
        </w:rPr>
        <w:t xml:space="preserve"> 31 December 2020, which was prepared by DELOITTE ADVISORY d.o.o. Belgrade, as well as that the said Report contains a clause stating that it is not intended for further distribution or publication and that it cannot be used for any purpose other than purpose stated in the Report, without the written consent of DELOITTE ADVISORY d.o.o. Belgrade.</w:t>
      </w:r>
    </w:p>
    <w:p w14:paraId="76E7F559" w14:textId="6544C6B8" w:rsidR="00137997" w:rsidRPr="00F97CB0" w:rsidRDefault="003333D7" w:rsidP="003333D7">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Given that the Ministry of Economy did not submit to the Anti-Corruption Council the requested Report of the authorised assessor on the estimated value of the Institute's capital and the price at which the Company was offered for sale, in this report the Council will present certain data on the Institute’s assets and its value that it took over in the original form from the Report of the State Audit Institution on the auditing of financial statements and regularity of operations of the Joint-stock company Jaroslav Černi Water Institute, Belgrade for the year 2015, No. 400-1027/2016-06/8 of 29 December 2016, when the State Audit Institution performed audit of the financial statements and regularity of the operations of the Institute for the last time.</w:t>
      </w:r>
      <w:r w:rsidRPr="00F97CB0">
        <w:rPr>
          <w:rFonts w:ascii="Times New Roman" w:hAnsi="Times New Roman" w:cs="Times New Roman"/>
          <w:sz w:val="24"/>
          <w:szCs w:val="24"/>
          <w:vertAlign w:val="superscript"/>
        </w:rPr>
        <w:footnoteReference w:id="13"/>
      </w:r>
    </w:p>
    <w:p w14:paraId="41EE94A2" w14:textId="034E0A81" w:rsidR="00C77982" w:rsidRPr="00F97CB0" w:rsidRDefault="00C77982" w:rsidP="00FF4D07">
      <w:pPr>
        <w:rPr>
          <w:rFonts w:ascii="Times New Roman" w:hAnsi="Times New Roman" w:cs="Times New Roman"/>
          <w:sz w:val="24"/>
          <w:szCs w:val="24"/>
        </w:rPr>
      </w:pPr>
    </w:p>
    <w:p w14:paraId="7BEDB736" w14:textId="77777777" w:rsidR="00FF4D07" w:rsidRPr="00F97CB0" w:rsidRDefault="00FF4D07" w:rsidP="00FF4D07">
      <w:pPr>
        <w:rPr>
          <w:rFonts w:ascii="Times New Roman" w:hAnsi="Times New Roman" w:cs="Times New Roman"/>
        </w:rPr>
      </w:pPr>
    </w:p>
    <w:p w14:paraId="78C8DCAC" w14:textId="448BF9E2"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t>5.1.2. Intangible assets</w:t>
      </w:r>
      <w:r w:rsidR="00590645" w:rsidRPr="00F97CB0">
        <w:rPr>
          <w:rStyle w:val="FootnoteReference"/>
          <w:rFonts w:ascii="Times New Roman" w:hAnsi="Times New Roman" w:cs="Times New Roman"/>
          <w:bCs/>
          <w:sz w:val="24"/>
          <w:szCs w:val="24"/>
        </w:rPr>
        <w:footnoteReference w:id="14"/>
      </w:r>
    </w:p>
    <w:p w14:paraId="592BC1D2" w14:textId="779F777B" w:rsidR="00C77982" w:rsidRPr="00F97CB0" w:rsidRDefault="00C77982" w:rsidP="00641CA1">
      <w:pPr>
        <w:pStyle w:val="NoSpacing"/>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Intangible assets, as of 31 December 2015, are reported in an amount of 2,424 thousand dinars and are related to a </w:t>
      </w:r>
      <w:r w:rsidR="005F6449" w:rsidRPr="00F97CB0">
        <w:rPr>
          <w:rFonts w:ascii="Times New Roman" w:hAnsi="Times New Roman"/>
          <w:color w:val="000000"/>
          <w:sz w:val="24"/>
        </w:rPr>
        <w:t>multi-annual licenses</w:t>
      </w:r>
      <w:r w:rsidRPr="00F97CB0">
        <w:rPr>
          <w:rFonts w:ascii="Times New Roman" w:hAnsi="Times New Roman"/>
          <w:color w:val="000000"/>
          <w:sz w:val="24"/>
        </w:rPr>
        <w:t xml:space="preserve"> for software legalisation. The listed assets are recorded in purchase value.</w:t>
      </w:r>
    </w:p>
    <w:p w14:paraId="7EB78827" w14:textId="55429D75" w:rsidR="00C77982" w:rsidRPr="00F97CB0" w:rsidRDefault="00C77982" w:rsidP="0059064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lastRenderedPageBreak/>
        <w:t>Intangible assets changes are shown in the following table:</w:t>
      </w:r>
    </w:p>
    <w:p w14:paraId="61EF2B77" w14:textId="77777777" w:rsidR="00C77982" w:rsidRPr="00F97CB0" w:rsidRDefault="00C77982" w:rsidP="00C77982">
      <w:pPr>
        <w:spacing w:after="21"/>
        <w:ind w:left="711"/>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2F635244" w14:textId="3BB79728" w:rsidR="00C77982" w:rsidRPr="00F97CB0" w:rsidRDefault="00C77982" w:rsidP="00C77982">
      <w:pPr>
        <w:spacing w:after="5" w:line="267" w:lineRule="auto"/>
        <w:ind w:right="55"/>
        <w:jc w:val="both"/>
        <w:rPr>
          <w:rFonts w:ascii="Times New Roman" w:eastAsia="Times New Roman" w:hAnsi="Times New Roman" w:cs="Times New Roman"/>
          <w:color w:val="000000"/>
          <w:sz w:val="24"/>
        </w:rPr>
      </w:pPr>
      <w:r w:rsidRPr="00F97CB0">
        <w:rPr>
          <w:rFonts w:ascii="Times New Roman" w:hAnsi="Times New Roman"/>
          <w:color w:val="000000"/>
          <w:sz w:val="24"/>
        </w:rPr>
        <w:t>Table No. 1 – Intangible investments – in thousands of dinars</w:t>
      </w:r>
    </w:p>
    <w:tbl>
      <w:tblPr>
        <w:tblStyle w:val="TableGrid2"/>
        <w:tblW w:w="8937" w:type="dxa"/>
        <w:tblInd w:w="-5" w:type="dxa"/>
        <w:tblCellMar>
          <w:top w:w="7" w:type="dxa"/>
          <w:left w:w="108" w:type="dxa"/>
        </w:tblCellMar>
        <w:tblLook w:val="04A0" w:firstRow="1" w:lastRow="0" w:firstColumn="1" w:lastColumn="0" w:noHBand="0" w:noVBand="1"/>
      </w:tblPr>
      <w:tblGrid>
        <w:gridCol w:w="4117"/>
        <w:gridCol w:w="2977"/>
        <w:gridCol w:w="1843"/>
      </w:tblGrid>
      <w:tr w:rsidR="00C77982" w:rsidRPr="00F97CB0" w14:paraId="333F660F" w14:textId="77777777" w:rsidTr="00C77982">
        <w:trPr>
          <w:trHeight w:val="286"/>
        </w:trPr>
        <w:tc>
          <w:tcPr>
            <w:tcW w:w="4117" w:type="dxa"/>
            <w:tcBorders>
              <w:top w:val="single" w:sz="4" w:space="0" w:color="000000"/>
              <w:left w:val="single" w:sz="4" w:space="0" w:color="000000"/>
              <w:bottom w:val="single" w:sz="4" w:space="0" w:color="000000"/>
              <w:right w:val="single" w:sz="4" w:space="0" w:color="000000"/>
            </w:tcBorders>
          </w:tcPr>
          <w:p w14:paraId="1057D2F9" w14:textId="77777777" w:rsidR="00C77982" w:rsidRPr="00F97CB0" w:rsidRDefault="00C77982" w:rsidP="00C77982">
            <w:pPr>
              <w:ind w:right="106"/>
              <w:jc w:val="center"/>
              <w:rPr>
                <w:rFonts w:ascii="Times New Roman" w:eastAsia="Times New Roman" w:hAnsi="Times New Roman" w:cs="Times New Roman"/>
                <w:color w:val="000000"/>
                <w:sz w:val="24"/>
              </w:rPr>
            </w:pPr>
            <w:r w:rsidRPr="00F97CB0">
              <w:rPr>
                <w:rFonts w:ascii="Times New Roman" w:hAnsi="Times New Roman"/>
                <w:b/>
                <w:color w:val="000000"/>
                <w:sz w:val="24"/>
              </w:rPr>
              <w:t xml:space="preserve">Description </w:t>
            </w:r>
          </w:p>
        </w:tc>
        <w:tc>
          <w:tcPr>
            <w:tcW w:w="2977" w:type="dxa"/>
            <w:tcBorders>
              <w:top w:val="single" w:sz="4" w:space="0" w:color="000000"/>
              <w:left w:val="single" w:sz="4" w:space="0" w:color="000000"/>
              <w:bottom w:val="single" w:sz="4" w:space="0" w:color="000000"/>
              <w:right w:val="single" w:sz="4" w:space="0" w:color="000000"/>
            </w:tcBorders>
          </w:tcPr>
          <w:p w14:paraId="14454CE3" w14:textId="77777777" w:rsidR="00C77982" w:rsidRPr="00F97CB0" w:rsidRDefault="00C77982" w:rsidP="00C77982">
            <w:pPr>
              <w:ind w:left="67"/>
              <w:rPr>
                <w:rFonts w:ascii="Times New Roman" w:eastAsia="Times New Roman" w:hAnsi="Times New Roman" w:cs="Times New Roman"/>
                <w:color w:val="000000"/>
                <w:sz w:val="24"/>
              </w:rPr>
            </w:pPr>
            <w:r w:rsidRPr="00F97CB0">
              <w:rPr>
                <w:rFonts w:ascii="Times New Roman" w:hAnsi="Times New Roman"/>
                <w:b/>
                <w:color w:val="000000"/>
                <w:sz w:val="24"/>
              </w:rPr>
              <w:t xml:space="preserve">Software and other rights </w:t>
            </w:r>
          </w:p>
        </w:tc>
        <w:tc>
          <w:tcPr>
            <w:tcW w:w="1843" w:type="dxa"/>
            <w:tcBorders>
              <w:top w:val="single" w:sz="4" w:space="0" w:color="000000"/>
              <w:left w:val="single" w:sz="4" w:space="0" w:color="000000"/>
              <w:bottom w:val="single" w:sz="4" w:space="0" w:color="000000"/>
              <w:right w:val="single" w:sz="4" w:space="0" w:color="000000"/>
            </w:tcBorders>
          </w:tcPr>
          <w:p w14:paraId="41A35D4F" w14:textId="77777777" w:rsidR="00C77982" w:rsidRPr="00F97CB0" w:rsidRDefault="00C77982" w:rsidP="00C77982">
            <w:pPr>
              <w:ind w:right="106"/>
              <w:jc w:val="center"/>
              <w:rPr>
                <w:rFonts w:ascii="Times New Roman" w:eastAsia="Times New Roman" w:hAnsi="Times New Roman" w:cs="Times New Roman"/>
                <w:color w:val="000000"/>
                <w:sz w:val="24"/>
              </w:rPr>
            </w:pPr>
            <w:r w:rsidRPr="00F97CB0">
              <w:rPr>
                <w:rFonts w:ascii="Times New Roman" w:hAnsi="Times New Roman"/>
                <w:b/>
                <w:color w:val="000000"/>
                <w:sz w:val="24"/>
              </w:rPr>
              <w:t xml:space="preserve">Total </w:t>
            </w:r>
          </w:p>
        </w:tc>
      </w:tr>
      <w:tr w:rsidR="00C77982" w:rsidRPr="00F97CB0" w14:paraId="2BF2526D"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223B166E" w14:textId="5C005D9C"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Purchase value</w:t>
            </w:r>
          </w:p>
        </w:tc>
        <w:tc>
          <w:tcPr>
            <w:tcW w:w="2977" w:type="dxa"/>
            <w:tcBorders>
              <w:top w:val="single" w:sz="4" w:space="0" w:color="000000"/>
              <w:left w:val="single" w:sz="4" w:space="0" w:color="000000"/>
              <w:bottom w:val="single" w:sz="4" w:space="0" w:color="000000"/>
              <w:right w:val="single" w:sz="4" w:space="0" w:color="000000"/>
            </w:tcBorders>
          </w:tcPr>
          <w:p w14:paraId="4FD850A7" w14:textId="469C5834" w:rsidR="00C77982" w:rsidRPr="00F97CB0" w:rsidRDefault="00263DAC" w:rsidP="00C77982">
            <w:pPr>
              <w:ind w:right="49"/>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89AF694" w14:textId="069FD048" w:rsidR="00C77982" w:rsidRPr="00F97CB0" w:rsidRDefault="00263DAC" w:rsidP="00C77982">
            <w:pPr>
              <w:ind w:right="48"/>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r>
      <w:tr w:rsidR="00C77982" w:rsidRPr="00F97CB0" w14:paraId="702340C6"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0A50DE17" w14:textId="0D2E9B8C"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As of 1 January 2015</w:t>
            </w:r>
          </w:p>
        </w:tc>
        <w:tc>
          <w:tcPr>
            <w:tcW w:w="2977" w:type="dxa"/>
            <w:tcBorders>
              <w:top w:val="single" w:sz="4" w:space="0" w:color="000000"/>
              <w:left w:val="single" w:sz="4" w:space="0" w:color="000000"/>
              <w:bottom w:val="single" w:sz="4" w:space="0" w:color="000000"/>
              <w:right w:val="single" w:sz="4" w:space="0" w:color="000000"/>
            </w:tcBorders>
          </w:tcPr>
          <w:p w14:paraId="5B64DE90" w14:textId="46BA53FA"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b/>
                <w:color w:val="000000"/>
                <w:sz w:val="24"/>
              </w:rPr>
              <w:t>15,647</w:t>
            </w:r>
          </w:p>
        </w:tc>
        <w:tc>
          <w:tcPr>
            <w:tcW w:w="1843" w:type="dxa"/>
            <w:tcBorders>
              <w:top w:val="single" w:sz="4" w:space="0" w:color="000000"/>
              <w:left w:val="single" w:sz="4" w:space="0" w:color="000000"/>
              <w:bottom w:val="single" w:sz="4" w:space="0" w:color="000000"/>
              <w:right w:val="single" w:sz="4" w:space="0" w:color="000000"/>
            </w:tcBorders>
          </w:tcPr>
          <w:p w14:paraId="47BB1BB8" w14:textId="5D55FC3B"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b/>
                <w:color w:val="000000"/>
                <w:sz w:val="24"/>
              </w:rPr>
              <w:t>15,647</w:t>
            </w:r>
          </w:p>
        </w:tc>
      </w:tr>
      <w:tr w:rsidR="00C77982" w:rsidRPr="00F97CB0" w14:paraId="2EC17A71"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1378F174" w14:textId="5B11FC13"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New procurements</w:t>
            </w:r>
          </w:p>
        </w:tc>
        <w:tc>
          <w:tcPr>
            <w:tcW w:w="2977" w:type="dxa"/>
            <w:tcBorders>
              <w:top w:val="single" w:sz="4" w:space="0" w:color="000000"/>
              <w:left w:val="single" w:sz="4" w:space="0" w:color="000000"/>
              <w:bottom w:val="single" w:sz="4" w:space="0" w:color="000000"/>
              <w:right w:val="single" w:sz="4" w:space="0" w:color="000000"/>
            </w:tcBorders>
          </w:tcPr>
          <w:p w14:paraId="21D3BCFE" w14:textId="753470EA"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color w:val="000000"/>
                <w:sz w:val="24"/>
              </w:rPr>
              <w:t>1,364</w:t>
            </w:r>
          </w:p>
        </w:tc>
        <w:tc>
          <w:tcPr>
            <w:tcW w:w="1843" w:type="dxa"/>
            <w:tcBorders>
              <w:top w:val="single" w:sz="4" w:space="0" w:color="000000"/>
              <w:left w:val="single" w:sz="4" w:space="0" w:color="000000"/>
              <w:bottom w:val="single" w:sz="4" w:space="0" w:color="000000"/>
              <w:right w:val="single" w:sz="4" w:space="0" w:color="000000"/>
            </w:tcBorders>
          </w:tcPr>
          <w:p w14:paraId="53062B8C" w14:textId="012667BB"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color w:val="000000"/>
                <w:sz w:val="24"/>
              </w:rPr>
              <w:t>1,364</w:t>
            </w:r>
          </w:p>
        </w:tc>
      </w:tr>
      <w:tr w:rsidR="00C77982" w:rsidRPr="00F97CB0" w14:paraId="0E3C8033"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4F83200F" w14:textId="5011FE4F"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As of 31 December 2015</w:t>
            </w:r>
          </w:p>
        </w:tc>
        <w:tc>
          <w:tcPr>
            <w:tcW w:w="2977" w:type="dxa"/>
            <w:tcBorders>
              <w:top w:val="single" w:sz="4" w:space="0" w:color="000000"/>
              <w:left w:val="single" w:sz="4" w:space="0" w:color="000000"/>
              <w:bottom w:val="single" w:sz="4" w:space="0" w:color="000000"/>
              <w:right w:val="single" w:sz="4" w:space="0" w:color="000000"/>
            </w:tcBorders>
          </w:tcPr>
          <w:p w14:paraId="7471C593" w14:textId="77DCABB4"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b/>
                <w:color w:val="000000"/>
                <w:sz w:val="24"/>
              </w:rPr>
              <w:t>17,011</w:t>
            </w:r>
          </w:p>
        </w:tc>
        <w:tc>
          <w:tcPr>
            <w:tcW w:w="1843" w:type="dxa"/>
            <w:tcBorders>
              <w:top w:val="single" w:sz="4" w:space="0" w:color="000000"/>
              <w:left w:val="single" w:sz="4" w:space="0" w:color="000000"/>
              <w:bottom w:val="single" w:sz="4" w:space="0" w:color="000000"/>
              <w:right w:val="single" w:sz="4" w:space="0" w:color="000000"/>
            </w:tcBorders>
          </w:tcPr>
          <w:p w14:paraId="4BB58858" w14:textId="67B40B67"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b/>
                <w:color w:val="000000"/>
                <w:sz w:val="24"/>
              </w:rPr>
              <w:t>17,011</w:t>
            </w:r>
          </w:p>
        </w:tc>
      </w:tr>
      <w:tr w:rsidR="00C77982" w:rsidRPr="00F97CB0" w14:paraId="1379088B" w14:textId="77777777" w:rsidTr="00C77982">
        <w:trPr>
          <w:trHeight w:val="286"/>
        </w:trPr>
        <w:tc>
          <w:tcPr>
            <w:tcW w:w="4117" w:type="dxa"/>
            <w:tcBorders>
              <w:top w:val="single" w:sz="4" w:space="0" w:color="000000"/>
              <w:left w:val="single" w:sz="4" w:space="0" w:color="000000"/>
              <w:bottom w:val="single" w:sz="4" w:space="0" w:color="000000"/>
              <w:right w:val="single" w:sz="4" w:space="0" w:color="000000"/>
            </w:tcBorders>
          </w:tcPr>
          <w:p w14:paraId="420ECB0A" w14:textId="5479B56F" w:rsidR="00C77982" w:rsidRPr="00F97CB0" w:rsidRDefault="00263DAC" w:rsidP="00C77982">
            <w:pPr>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C902668" w14:textId="11FBFC6B" w:rsidR="00C77982" w:rsidRPr="00F97CB0" w:rsidRDefault="00263DAC" w:rsidP="00C77982">
            <w:pPr>
              <w:ind w:right="49"/>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511E5393" w14:textId="673FCE82" w:rsidR="00C77982" w:rsidRPr="00F97CB0" w:rsidRDefault="00263DAC" w:rsidP="00C77982">
            <w:pPr>
              <w:ind w:right="48"/>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r>
      <w:tr w:rsidR="00C77982" w:rsidRPr="00F97CB0" w14:paraId="49B858CA"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254983AE" w14:textId="4E8EE5C8"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Allowance</w:t>
            </w:r>
          </w:p>
        </w:tc>
        <w:tc>
          <w:tcPr>
            <w:tcW w:w="2977" w:type="dxa"/>
            <w:tcBorders>
              <w:top w:val="single" w:sz="4" w:space="0" w:color="000000"/>
              <w:left w:val="single" w:sz="4" w:space="0" w:color="000000"/>
              <w:bottom w:val="single" w:sz="4" w:space="0" w:color="000000"/>
              <w:right w:val="single" w:sz="4" w:space="0" w:color="000000"/>
            </w:tcBorders>
          </w:tcPr>
          <w:p w14:paraId="104D731F" w14:textId="218F51DB" w:rsidR="00C77982" w:rsidRPr="00F97CB0" w:rsidRDefault="00263DAC" w:rsidP="00C77982">
            <w:pPr>
              <w:ind w:right="49"/>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64615A0" w14:textId="5896FC2B" w:rsidR="00C77982" w:rsidRPr="00F97CB0" w:rsidRDefault="00263DAC" w:rsidP="00C77982">
            <w:pPr>
              <w:ind w:right="48"/>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r>
      <w:tr w:rsidR="00C77982" w:rsidRPr="00F97CB0" w14:paraId="0D1EDA9C"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40332A07" w14:textId="1138E3FC"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As of 1 January 2015</w:t>
            </w:r>
          </w:p>
        </w:tc>
        <w:tc>
          <w:tcPr>
            <w:tcW w:w="2977" w:type="dxa"/>
            <w:tcBorders>
              <w:top w:val="single" w:sz="4" w:space="0" w:color="000000"/>
              <w:left w:val="single" w:sz="4" w:space="0" w:color="000000"/>
              <w:bottom w:val="single" w:sz="4" w:space="0" w:color="000000"/>
              <w:right w:val="single" w:sz="4" w:space="0" w:color="000000"/>
            </w:tcBorders>
          </w:tcPr>
          <w:p w14:paraId="05E036EC" w14:textId="39662755"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b/>
                <w:color w:val="000000"/>
                <w:sz w:val="24"/>
              </w:rPr>
              <w:t>13,808</w:t>
            </w:r>
          </w:p>
        </w:tc>
        <w:tc>
          <w:tcPr>
            <w:tcW w:w="1843" w:type="dxa"/>
            <w:tcBorders>
              <w:top w:val="single" w:sz="4" w:space="0" w:color="000000"/>
              <w:left w:val="single" w:sz="4" w:space="0" w:color="000000"/>
              <w:bottom w:val="single" w:sz="4" w:space="0" w:color="000000"/>
              <w:right w:val="single" w:sz="4" w:space="0" w:color="000000"/>
            </w:tcBorders>
          </w:tcPr>
          <w:p w14:paraId="05A7B030" w14:textId="1EFFBCC7"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b/>
                <w:color w:val="000000"/>
                <w:sz w:val="24"/>
              </w:rPr>
              <w:t>13,808</w:t>
            </w:r>
          </w:p>
        </w:tc>
      </w:tr>
      <w:tr w:rsidR="00C77982" w:rsidRPr="00F97CB0" w14:paraId="382D17A7"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73B55CD9" w14:textId="15141B6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Depreciation</w:t>
            </w:r>
          </w:p>
        </w:tc>
        <w:tc>
          <w:tcPr>
            <w:tcW w:w="2977" w:type="dxa"/>
            <w:tcBorders>
              <w:top w:val="single" w:sz="4" w:space="0" w:color="000000"/>
              <w:left w:val="single" w:sz="4" w:space="0" w:color="000000"/>
              <w:bottom w:val="single" w:sz="4" w:space="0" w:color="000000"/>
              <w:right w:val="single" w:sz="4" w:space="0" w:color="000000"/>
            </w:tcBorders>
          </w:tcPr>
          <w:p w14:paraId="0FB7EA4B" w14:textId="53F9D584"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color w:val="000000"/>
                <w:sz w:val="24"/>
              </w:rPr>
              <w:t>779</w:t>
            </w:r>
          </w:p>
        </w:tc>
        <w:tc>
          <w:tcPr>
            <w:tcW w:w="1843" w:type="dxa"/>
            <w:tcBorders>
              <w:top w:val="single" w:sz="4" w:space="0" w:color="000000"/>
              <w:left w:val="single" w:sz="4" w:space="0" w:color="000000"/>
              <w:bottom w:val="single" w:sz="4" w:space="0" w:color="000000"/>
              <w:right w:val="single" w:sz="4" w:space="0" w:color="000000"/>
            </w:tcBorders>
          </w:tcPr>
          <w:p w14:paraId="1DA403A8" w14:textId="3280FDC6"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color w:val="000000"/>
                <w:sz w:val="24"/>
              </w:rPr>
              <w:t>779</w:t>
            </w:r>
          </w:p>
        </w:tc>
      </w:tr>
      <w:tr w:rsidR="00C77982" w:rsidRPr="00F97CB0" w14:paraId="11689722" w14:textId="77777777" w:rsidTr="00C77982">
        <w:trPr>
          <w:trHeight w:val="325"/>
        </w:trPr>
        <w:tc>
          <w:tcPr>
            <w:tcW w:w="4117" w:type="dxa"/>
            <w:tcBorders>
              <w:top w:val="single" w:sz="4" w:space="0" w:color="000000"/>
              <w:left w:val="single" w:sz="4" w:space="0" w:color="000000"/>
              <w:bottom w:val="single" w:sz="4" w:space="0" w:color="000000"/>
              <w:right w:val="single" w:sz="4" w:space="0" w:color="000000"/>
            </w:tcBorders>
          </w:tcPr>
          <w:p w14:paraId="34F1306B" w14:textId="3F6C8102"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As of 31 December 2015</w:t>
            </w:r>
          </w:p>
        </w:tc>
        <w:tc>
          <w:tcPr>
            <w:tcW w:w="2977" w:type="dxa"/>
            <w:tcBorders>
              <w:top w:val="single" w:sz="4" w:space="0" w:color="000000"/>
              <w:left w:val="single" w:sz="4" w:space="0" w:color="000000"/>
              <w:bottom w:val="single" w:sz="4" w:space="0" w:color="000000"/>
              <w:right w:val="single" w:sz="4" w:space="0" w:color="000000"/>
            </w:tcBorders>
          </w:tcPr>
          <w:p w14:paraId="23DB4F0A" w14:textId="6C36E695"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b/>
                <w:color w:val="000000"/>
                <w:sz w:val="24"/>
              </w:rPr>
              <w:t>14,587</w:t>
            </w:r>
          </w:p>
        </w:tc>
        <w:tc>
          <w:tcPr>
            <w:tcW w:w="1843" w:type="dxa"/>
            <w:tcBorders>
              <w:top w:val="single" w:sz="4" w:space="0" w:color="000000"/>
              <w:left w:val="single" w:sz="4" w:space="0" w:color="000000"/>
              <w:bottom w:val="single" w:sz="4" w:space="0" w:color="000000"/>
              <w:right w:val="single" w:sz="4" w:space="0" w:color="000000"/>
            </w:tcBorders>
          </w:tcPr>
          <w:p w14:paraId="2F740821" w14:textId="19946016"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b/>
                <w:color w:val="000000"/>
                <w:sz w:val="24"/>
              </w:rPr>
              <w:t>14.587</w:t>
            </w:r>
          </w:p>
        </w:tc>
      </w:tr>
      <w:tr w:rsidR="00C77982" w:rsidRPr="00F97CB0" w14:paraId="510CF431" w14:textId="77777777" w:rsidTr="00C77982">
        <w:trPr>
          <w:trHeight w:val="288"/>
        </w:trPr>
        <w:tc>
          <w:tcPr>
            <w:tcW w:w="4117" w:type="dxa"/>
            <w:tcBorders>
              <w:top w:val="single" w:sz="4" w:space="0" w:color="000000"/>
              <w:left w:val="single" w:sz="4" w:space="0" w:color="000000"/>
              <w:bottom w:val="single" w:sz="4" w:space="0" w:color="000000"/>
              <w:right w:val="single" w:sz="4" w:space="0" w:color="000000"/>
            </w:tcBorders>
          </w:tcPr>
          <w:p w14:paraId="747AAF37" w14:textId="7E955862" w:rsidR="00C77982" w:rsidRPr="00F97CB0" w:rsidRDefault="00263DAC" w:rsidP="00C77982">
            <w:pPr>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1A0D635" w14:textId="5D0F7FED" w:rsidR="00C77982" w:rsidRPr="00F97CB0" w:rsidRDefault="00263DAC" w:rsidP="00C77982">
            <w:pPr>
              <w:ind w:right="49"/>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246613B" w14:textId="6BE5EFB6" w:rsidR="00C77982" w:rsidRPr="00F97CB0" w:rsidRDefault="00263DAC" w:rsidP="00C77982">
            <w:pPr>
              <w:ind w:right="48"/>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r>
      <w:tr w:rsidR="00C77982" w:rsidRPr="00F97CB0" w14:paraId="07237600"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7900DAE2" w14:textId="409DF8D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Current value</w:t>
            </w:r>
          </w:p>
        </w:tc>
        <w:tc>
          <w:tcPr>
            <w:tcW w:w="2977" w:type="dxa"/>
            <w:tcBorders>
              <w:top w:val="single" w:sz="4" w:space="0" w:color="000000"/>
              <w:left w:val="single" w:sz="4" w:space="0" w:color="000000"/>
              <w:bottom w:val="single" w:sz="4" w:space="0" w:color="000000"/>
              <w:right w:val="single" w:sz="4" w:space="0" w:color="000000"/>
            </w:tcBorders>
          </w:tcPr>
          <w:p w14:paraId="30D9FD33" w14:textId="3B45A58B" w:rsidR="00C77982" w:rsidRPr="00F97CB0" w:rsidRDefault="00263DAC" w:rsidP="00C77982">
            <w:pPr>
              <w:ind w:right="49"/>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5D352FD" w14:textId="02C99907" w:rsidR="00C77982" w:rsidRPr="00F97CB0" w:rsidRDefault="00263DAC" w:rsidP="00C77982">
            <w:pPr>
              <w:ind w:right="48"/>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r>
      <w:tr w:rsidR="00C77982" w:rsidRPr="00F97CB0" w14:paraId="2538987A" w14:textId="77777777" w:rsidTr="00C77982">
        <w:trPr>
          <w:trHeight w:val="324"/>
        </w:trPr>
        <w:tc>
          <w:tcPr>
            <w:tcW w:w="4117" w:type="dxa"/>
            <w:tcBorders>
              <w:top w:val="single" w:sz="4" w:space="0" w:color="000000"/>
              <w:left w:val="single" w:sz="4" w:space="0" w:color="000000"/>
              <w:bottom w:val="single" w:sz="4" w:space="0" w:color="000000"/>
              <w:right w:val="single" w:sz="4" w:space="0" w:color="000000"/>
            </w:tcBorders>
          </w:tcPr>
          <w:p w14:paraId="7672996A" w14:textId="076095D8"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31 December 2015</w:t>
            </w:r>
          </w:p>
        </w:tc>
        <w:tc>
          <w:tcPr>
            <w:tcW w:w="2977" w:type="dxa"/>
            <w:tcBorders>
              <w:top w:val="single" w:sz="4" w:space="0" w:color="000000"/>
              <w:left w:val="single" w:sz="4" w:space="0" w:color="000000"/>
              <w:bottom w:val="single" w:sz="4" w:space="0" w:color="000000"/>
              <w:right w:val="single" w:sz="4" w:space="0" w:color="000000"/>
            </w:tcBorders>
          </w:tcPr>
          <w:p w14:paraId="25747949" w14:textId="70EEC86F"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b/>
                <w:color w:val="000000"/>
                <w:sz w:val="24"/>
              </w:rPr>
              <w:t>2,424</w:t>
            </w:r>
          </w:p>
        </w:tc>
        <w:tc>
          <w:tcPr>
            <w:tcW w:w="1843" w:type="dxa"/>
            <w:tcBorders>
              <w:top w:val="single" w:sz="4" w:space="0" w:color="000000"/>
              <w:left w:val="single" w:sz="4" w:space="0" w:color="000000"/>
              <w:bottom w:val="single" w:sz="4" w:space="0" w:color="000000"/>
              <w:right w:val="single" w:sz="4" w:space="0" w:color="000000"/>
            </w:tcBorders>
          </w:tcPr>
          <w:p w14:paraId="005DB014" w14:textId="06B25EA0"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b/>
                <w:color w:val="000000"/>
                <w:sz w:val="24"/>
              </w:rPr>
              <w:t>2,424</w:t>
            </w:r>
          </w:p>
        </w:tc>
      </w:tr>
      <w:tr w:rsidR="00C77982" w:rsidRPr="00F97CB0" w14:paraId="7C87C757" w14:textId="77777777" w:rsidTr="00C77982">
        <w:trPr>
          <w:trHeight w:val="326"/>
        </w:trPr>
        <w:tc>
          <w:tcPr>
            <w:tcW w:w="4117" w:type="dxa"/>
            <w:tcBorders>
              <w:top w:val="single" w:sz="4" w:space="0" w:color="000000"/>
              <w:left w:val="single" w:sz="4" w:space="0" w:color="000000"/>
              <w:bottom w:val="single" w:sz="4" w:space="0" w:color="000000"/>
              <w:right w:val="single" w:sz="4" w:space="0" w:color="000000"/>
            </w:tcBorders>
          </w:tcPr>
          <w:p w14:paraId="073E566B" w14:textId="1F61405C"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31 December 2014</w:t>
            </w:r>
          </w:p>
        </w:tc>
        <w:tc>
          <w:tcPr>
            <w:tcW w:w="2977" w:type="dxa"/>
            <w:tcBorders>
              <w:top w:val="single" w:sz="4" w:space="0" w:color="000000"/>
              <w:left w:val="single" w:sz="4" w:space="0" w:color="000000"/>
              <w:bottom w:val="single" w:sz="4" w:space="0" w:color="000000"/>
              <w:right w:val="single" w:sz="4" w:space="0" w:color="000000"/>
            </w:tcBorders>
          </w:tcPr>
          <w:p w14:paraId="7D85FD6A" w14:textId="138C4150" w:rsidR="00C77982" w:rsidRPr="00F97CB0" w:rsidRDefault="00C77982" w:rsidP="00C77982">
            <w:pPr>
              <w:ind w:right="109"/>
              <w:jc w:val="right"/>
              <w:rPr>
                <w:rFonts w:ascii="Times New Roman" w:eastAsia="Times New Roman" w:hAnsi="Times New Roman" w:cs="Times New Roman"/>
                <w:color w:val="000000"/>
                <w:sz w:val="24"/>
              </w:rPr>
            </w:pPr>
            <w:r w:rsidRPr="00F97CB0">
              <w:rPr>
                <w:rFonts w:ascii="Times New Roman" w:hAnsi="Times New Roman"/>
                <w:b/>
                <w:color w:val="000000"/>
                <w:sz w:val="24"/>
              </w:rPr>
              <w:t>1,839</w:t>
            </w:r>
          </w:p>
        </w:tc>
        <w:tc>
          <w:tcPr>
            <w:tcW w:w="1843" w:type="dxa"/>
            <w:tcBorders>
              <w:top w:val="single" w:sz="4" w:space="0" w:color="000000"/>
              <w:left w:val="single" w:sz="4" w:space="0" w:color="000000"/>
              <w:bottom w:val="single" w:sz="4" w:space="0" w:color="000000"/>
              <w:right w:val="single" w:sz="4" w:space="0" w:color="000000"/>
            </w:tcBorders>
          </w:tcPr>
          <w:p w14:paraId="1857D4B4" w14:textId="03E4DB53" w:rsidR="00C77982" w:rsidRPr="00F97CB0" w:rsidRDefault="00C77982" w:rsidP="00C77982">
            <w:pPr>
              <w:ind w:right="108"/>
              <w:jc w:val="right"/>
              <w:rPr>
                <w:rFonts w:ascii="Times New Roman" w:eastAsia="Times New Roman" w:hAnsi="Times New Roman" w:cs="Times New Roman"/>
                <w:color w:val="000000"/>
                <w:sz w:val="24"/>
              </w:rPr>
            </w:pPr>
            <w:r w:rsidRPr="00F97CB0">
              <w:rPr>
                <w:rFonts w:ascii="Times New Roman" w:hAnsi="Times New Roman"/>
                <w:b/>
                <w:color w:val="000000"/>
                <w:sz w:val="24"/>
              </w:rPr>
              <w:t>1,839</w:t>
            </w:r>
          </w:p>
        </w:tc>
      </w:tr>
    </w:tbl>
    <w:p w14:paraId="7FF75F85" w14:textId="77777777" w:rsidR="00C77982" w:rsidRPr="00F97CB0" w:rsidRDefault="00C77982" w:rsidP="00C77982">
      <w:pPr>
        <w:spacing w:after="20"/>
        <w:ind w:left="711"/>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24D118F6" w14:textId="77777777" w:rsidR="00641CA1" w:rsidRPr="00F97CB0" w:rsidRDefault="00641CA1" w:rsidP="00C77982">
      <w:pPr>
        <w:spacing w:after="5" w:line="267" w:lineRule="auto"/>
        <w:ind w:left="24" w:right="55" w:hanging="10"/>
        <w:jc w:val="both"/>
        <w:rPr>
          <w:rFonts w:ascii="Times New Roman" w:eastAsia="Times New Roman" w:hAnsi="Times New Roman" w:cs="Times New Roman"/>
          <w:color w:val="000000"/>
          <w:sz w:val="24"/>
        </w:rPr>
      </w:pPr>
    </w:p>
    <w:p w14:paraId="228B5B13" w14:textId="36E5725C"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In 2015, the total increase in intangible assets amounts to 1,365 thousand dinars, the largest part of which </w:t>
      </w:r>
      <w:r w:rsidR="005F6449" w:rsidRPr="00F97CB0">
        <w:rPr>
          <w:rFonts w:ascii="Times New Roman" w:hAnsi="Times New Roman"/>
          <w:color w:val="000000"/>
          <w:sz w:val="24"/>
        </w:rPr>
        <w:t>–</w:t>
      </w:r>
      <w:r w:rsidRPr="00F97CB0">
        <w:rPr>
          <w:rFonts w:ascii="Times New Roman" w:hAnsi="Times New Roman"/>
          <w:color w:val="000000"/>
          <w:sz w:val="24"/>
        </w:rPr>
        <w:t xml:space="preserve"> 1,202 thousand dinars </w:t>
      </w:r>
      <w:r w:rsidR="005F6449" w:rsidRPr="00F97CB0">
        <w:rPr>
          <w:rFonts w:ascii="Times New Roman" w:hAnsi="Times New Roman"/>
          <w:color w:val="000000"/>
          <w:sz w:val="24"/>
        </w:rPr>
        <w:t>–</w:t>
      </w:r>
      <w:r w:rsidRPr="00F97CB0">
        <w:rPr>
          <w:rFonts w:ascii="Times New Roman" w:hAnsi="Times New Roman"/>
          <w:color w:val="000000"/>
          <w:sz w:val="24"/>
        </w:rPr>
        <w:t xml:space="preserve"> </w:t>
      </w:r>
      <w:r w:rsidR="005F6449" w:rsidRPr="00F97CB0">
        <w:rPr>
          <w:rFonts w:ascii="Times New Roman" w:hAnsi="Times New Roman"/>
          <w:color w:val="000000"/>
          <w:sz w:val="24"/>
        </w:rPr>
        <w:t>i</w:t>
      </w:r>
      <w:r w:rsidRPr="00F97CB0">
        <w:rPr>
          <w:rFonts w:ascii="Times New Roman" w:hAnsi="Times New Roman"/>
          <w:color w:val="000000"/>
          <w:sz w:val="24"/>
        </w:rPr>
        <w:t>s related to the procurement of a software package for modeling the water supply network within the Networking for Drinking Water Supply in the Adriatic Region project.</w:t>
      </w:r>
    </w:p>
    <w:p w14:paraId="5F111C4A" w14:textId="1B60F92F"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The total calculated depreciation in 2015 is 779 thousand dinars. (Note No 5.2.6.).</w:t>
      </w:r>
    </w:p>
    <w:p w14:paraId="2E772CC2" w14:textId="77777777" w:rsidR="00C77982" w:rsidRPr="00F97CB0" w:rsidRDefault="00C77982" w:rsidP="00C77982">
      <w:pPr>
        <w:spacing w:after="67"/>
        <w:ind w:left="711"/>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p w14:paraId="2CFCDB34" w14:textId="724437AB"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t>5.1.3. Property, plant and equipment</w:t>
      </w:r>
    </w:p>
    <w:p w14:paraId="67375E9A" w14:textId="09B554A7"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Property, plant and equipment as of 31 December 2015 are reported in the amount of 102,895 thousand dinars and relate to:</w:t>
      </w:r>
    </w:p>
    <w:p w14:paraId="63BFCE65" w14:textId="77777777" w:rsidR="00641CA1" w:rsidRPr="00F97CB0" w:rsidRDefault="00641CA1" w:rsidP="00C77982">
      <w:pPr>
        <w:tabs>
          <w:tab w:val="center" w:pos="3363"/>
          <w:tab w:val="right" w:pos="9698"/>
        </w:tabs>
        <w:spacing w:after="5" w:line="267" w:lineRule="auto"/>
        <w:rPr>
          <w:rFonts w:ascii="Times New Roman" w:eastAsia="Times New Roman" w:hAnsi="Times New Roman" w:cs="Times New Roman"/>
          <w:color w:val="000000"/>
          <w:sz w:val="24"/>
        </w:rPr>
      </w:pPr>
    </w:p>
    <w:p w14:paraId="5EF915FE" w14:textId="0C7D4723" w:rsidR="00C77982" w:rsidRPr="00F97CB0" w:rsidRDefault="00C77982" w:rsidP="00C77982">
      <w:pPr>
        <w:tabs>
          <w:tab w:val="center" w:pos="3363"/>
          <w:tab w:val="right" w:pos="9698"/>
        </w:tabs>
        <w:spacing w:after="5" w:line="267" w:lineRule="auto"/>
        <w:rPr>
          <w:rFonts w:ascii="Times New Roman" w:eastAsia="Times New Roman" w:hAnsi="Times New Roman" w:cs="Times New Roman"/>
          <w:color w:val="000000"/>
          <w:sz w:val="24"/>
        </w:rPr>
      </w:pPr>
      <w:r w:rsidRPr="00F97CB0">
        <w:rPr>
          <w:rFonts w:ascii="Times New Roman" w:hAnsi="Times New Roman"/>
          <w:color w:val="000000"/>
          <w:sz w:val="24"/>
        </w:rPr>
        <w:t>Table No 2 – Property, plant and equipment – in thousands of dinars</w:t>
      </w:r>
    </w:p>
    <w:tbl>
      <w:tblPr>
        <w:tblStyle w:val="TableGrid2"/>
        <w:tblW w:w="8934" w:type="dxa"/>
        <w:tblInd w:w="-5" w:type="dxa"/>
        <w:tblCellMar>
          <w:top w:w="7" w:type="dxa"/>
          <w:left w:w="108" w:type="dxa"/>
          <w:right w:w="48" w:type="dxa"/>
        </w:tblCellMar>
        <w:tblLook w:val="04A0" w:firstRow="1" w:lastRow="0" w:firstColumn="1" w:lastColumn="0" w:noHBand="0" w:noVBand="1"/>
      </w:tblPr>
      <w:tblGrid>
        <w:gridCol w:w="5955"/>
        <w:gridCol w:w="1431"/>
        <w:gridCol w:w="1548"/>
      </w:tblGrid>
      <w:tr w:rsidR="00C77982" w:rsidRPr="00F97CB0" w14:paraId="1991A690" w14:textId="77777777" w:rsidTr="00C77982">
        <w:trPr>
          <w:trHeight w:val="288"/>
        </w:trPr>
        <w:tc>
          <w:tcPr>
            <w:tcW w:w="5955" w:type="dxa"/>
            <w:tcBorders>
              <w:top w:val="single" w:sz="4" w:space="0" w:color="000000"/>
              <w:left w:val="single" w:sz="4" w:space="0" w:color="000000"/>
              <w:bottom w:val="single" w:sz="4" w:space="0" w:color="000000"/>
              <w:right w:val="single" w:sz="4" w:space="0" w:color="000000"/>
            </w:tcBorders>
          </w:tcPr>
          <w:p w14:paraId="14CD9B26" w14:textId="6852336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431" w:type="dxa"/>
            <w:tcBorders>
              <w:top w:val="single" w:sz="4" w:space="0" w:color="000000"/>
              <w:left w:val="single" w:sz="4" w:space="0" w:color="000000"/>
              <w:bottom w:val="single" w:sz="4" w:space="0" w:color="000000"/>
              <w:right w:val="single" w:sz="4" w:space="0" w:color="000000"/>
            </w:tcBorders>
          </w:tcPr>
          <w:p w14:paraId="2EC5CD88" w14:textId="388F00B8"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48" w:type="dxa"/>
            <w:tcBorders>
              <w:top w:val="single" w:sz="4" w:space="0" w:color="000000"/>
              <w:left w:val="single" w:sz="4" w:space="0" w:color="000000"/>
              <w:bottom w:val="single" w:sz="4" w:space="0" w:color="000000"/>
              <w:right w:val="single" w:sz="4" w:space="0" w:color="000000"/>
            </w:tcBorders>
          </w:tcPr>
          <w:p w14:paraId="756AB43E" w14:textId="611B64D0"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C77982" w:rsidRPr="00F97CB0" w14:paraId="75EDB7BC" w14:textId="77777777" w:rsidTr="00C77982">
        <w:trPr>
          <w:trHeight w:val="324"/>
        </w:trPr>
        <w:tc>
          <w:tcPr>
            <w:tcW w:w="5955" w:type="dxa"/>
            <w:tcBorders>
              <w:top w:val="single" w:sz="4" w:space="0" w:color="000000"/>
              <w:left w:val="single" w:sz="4" w:space="0" w:color="000000"/>
              <w:bottom w:val="single" w:sz="4" w:space="0" w:color="000000"/>
              <w:right w:val="single" w:sz="4" w:space="0" w:color="000000"/>
            </w:tcBorders>
          </w:tcPr>
          <w:p w14:paraId="03AF957E" w14:textId="348B5807"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Building land</w:t>
            </w:r>
          </w:p>
        </w:tc>
        <w:tc>
          <w:tcPr>
            <w:tcW w:w="1431" w:type="dxa"/>
            <w:tcBorders>
              <w:top w:val="single" w:sz="4" w:space="0" w:color="000000"/>
              <w:left w:val="single" w:sz="4" w:space="0" w:color="000000"/>
              <w:bottom w:val="single" w:sz="4" w:space="0" w:color="000000"/>
              <w:right w:val="single" w:sz="4" w:space="0" w:color="000000"/>
            </w:tcBorders>
          </w:tcPr>
          <w:p w14:paraId="0206B893" w14:textId="6F9C91BF"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3,128</w:t>
            </w:r>
          </w:p>
        </w:tc>
        <w:tc>
          <w:tcPr>
            <w:tcW w:w="1548" w:type="dxa"/>
            <w:tcBorders>
              <w:top w:val="single" w:sz="4" w:space="0" w:color="000000"/>
              <w:left w:val="single" w:sz="4" w:space="0" w:color="000000"/>
              <w:bottom w:val="single" w:sz="4" w:space="0" w:color="000000"/>
              <w:right w:val="single" w:sz="4" w:space="0" w:color="000000"/>
            </w:tcBorders>
          </w:tcPr>
          <w:p w14:paraId="56E3A2E9" w14:textId="3B483841"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3,128</w:t>
            </w:r>
          </w:p>
        </w:tc>
      </w:tr>
      <w:tr w:rsidR="00C77982" w:rsidRPr="00F97CB0" w14:paraId="3A631B51"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3BAE9824" w14:textId="7D8B997B"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Buildings</w:t>
            </w:r>
          </w:p>
        </w:tc>
        <w:tc>
          <w:tcPr>
            <w:tcW w:w="1431" w:type="dxa"/>
            <w:tcBorders>
              <w:top w:val="single" w:sz="4" w:space="0" w:color="000000"/>
              <w:left w:val="single" w:sz="4" w:space="0" w:color="000000"/>
              <w:bottom w:val="single" w:sz="4" w:space="0" w:color="000000"/>
              <w:right w:val="single" w:sz="4" w:space="0" w:color="000000"/>
            </w:tcBorders>
          </w:tcPr>
          <w:p w14:paraId="340F65D6" w14:textId="64904CD0"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27,537</w:t>
            </w:r>
          </w:p>
        </w:tc>
        <w:tc>
          <w:tcPr>
            <w:tcW w:w="1548" w:type="dxa"/>
            <w:tcBorders>
              <w:top w:val="single" w:sz="4" w:space="0" w:color="000000"/>
              <w:left w:val="single" w:sz="4" w:space="0" w:color="000000"/>
              <w:bottom w:val="single" w:sz="4" w:space="0" w:color="000000"/>
              <w:right w:val="single" w:sz="4" w:space="0" w:color="000000"/>
            </w:tcBorders>
          </w:tcPr>
          <w:p w14:paraId="4DC28487" w14:textId="5CA2F944"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28,395</w:t>
            </w:r>
          </w:p>
        </w:tc>
      </w:tr>
      <w:tr w:rsidR="00C77982" w:rsidRPr="00F97CB0" w14:paraId="3F9071FB"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071BB7F7" w14:textId="6F8BF798"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Facilities and equipment</w:t>
            </w:r>
          </w:p>
        </w:tc>
        <w:tc>
          <w:tcPr>
            <w:tcW w:w="1431" w:type="dxa"/>
            <w:tcBorders>
              <w:top w:val="single" w:sz="4" w:space="0" w:color="000000"/>
              <w:left w:val="single" w:sz="4" w:space="0" w:color="000000"/>
              <w:bottom w:val="single" w:sz="4" w:space="0" w:color="000000"/>
              <w:right w:val="single" w:sz="4" w:space="0" w:color="000000"/>
            </w:tcBorders>
          </w:tcPr>
          <w:p w14:paraId="4D6D216C" w14:textId="0EDFAE4B"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66,919</w:t>
            </w:r>
          </w:p>
        </w:tc>
        <w:tc>
          <w:tcPr>
            <w:tcW w:w="1548" w:type="dxa"/>
            <w:tcBorders>
              <w:top w:val="single" w:sz="4" w:space="0" w:color="000000"/>
              <w:left w:val="single" w:sz="4" w:space="0" w:color="000000"/>
              <w:bottom w:val="single" w:sz="4" w:space="0" w:color="000000"/>
              <w:right w:val="single" w:sz="4" w:space="0" w:color="000000"/>
            </w:tcBorders>
          </w:tcPr>
          <w:p w14:paraId="6EA809E4" w14:textId="734195DE"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89,810</w:t>
            </w:r>
          </w:p>
        </w:tc>
      </w:tr>
      <w:tr w:rsidR="00C77982" w:rsidRPr="00F97CB0" w14:paraId="16F52D07" w14:textId="77777777" w:rsidTr="00C77982">
        <w:trPr>
          <w:trHeight w:val="288"/>
        </w:trPr>
        <w:tc>
          <w:tcPr>
            <w:tcW w:w="5955" w:type="dxa"/>
            <w:tcBorders>
              <w:top w:val="single" w:sz="4" w:space="0" w:color="000000"/>
              <w:left w:val="single" w:sz="4" w:space="0" w:color="000000"/>
              <w:bottom w:val="single" w:sz="4" w:space="0" w:color="000000"/>
              <w:right w:val="single" w:sz="4" w:space="0" w:color="000000"/>
            </w:tcBorders>
          </w:tcPr>
          <w:p w14:paraId="2371714B" w14:textId="67A6826B"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Other property plant and equipment</w:t>
            </w:r>
          </w:p>
        </w:tc>
        <w:tc>
          <w:tcPr>
            <w:tcW w:w="1431" w:type="dxa"/>
            <w:tcBorders>
              <w:top w:val="single" w:sz="4" w:space="0" w:color="000000"/>
              <w:left w:val="single" w:sz="4" w:space="0" w:color="000000"/>
              <w:bottom w:val="single" w:sz="4" w:space="0" w:color="000000"/>
              <w:right w:val="single" w:sz="4" w:space="0" w:color="000000"/>
            </w:tcBorders>
          </w:tcPr>
          <w:p w14:paraId="52140C2F" w14:textId="362E27D9"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5,311</w:t>
            </w:r>
          </w:p>
        </w:tc>
        <w:tc>
          <w:tcPr>
            <w:tcW w:w="1548" w:type="dxa"/>
            <w:tcBorders>
              <w:top w:val="single" w:sz="4" w:space="0" w:color="000000"/>
              <w:left w:val="single" w:sz="4" w:space="0" w:color="000000"/>
              <w:bottom w:val="single" w:sz="4" w:space="0" w:color="000000"/>
              <w:right w:val="single" w:sz="4" w:space="0" w:color="000000"/>
            </w:tcBorders>
          </w:tcPr>
          <w:p w14:paraId="66243AEB" w14:textId="361F62A1"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5,254</w:t>
            </w:r>
          </w:p>
        </w:tc>
      </w:tr>
      <w:tr w:rsidR="00C77982" w:rsidRPr="00F97CB0" w14:paraId="75AEFD1F"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56CD2F59" w14:textId="79E63AF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Advances for fixed assets</w:t>
            </w:r>
          </w:p>
        </w:tc>
        <w:tc>
          <w:tcPr>
            <w:tcW w:w="1431" w:type="dxa"/>
            <w:tcBorders>
              <w:top w:val="single" w:sz="4" w:space="0" w:color="000000"/>
              <w:left w:val="single" w:sz="4" w:space="0" w:color="000000"/>
              <w:bottom w:val="single" w:sz="4" w:space="0" w:color="000000"/>
              <w:right w:val="single" w:sz="4" w:space="0" w:color="000000"/>
            </w:tcBorders>
          </w:tcPr>
          <w:p w14:paraId="189E3FF4" w14:textId="23BB76F1" w:rsidR="00C77982" w:rsidRPr="00F97CB0" w:rsidRDefault="00C77982" w:rsidP="00C77982">
            <w:pPr>
              <w:ind w:right="59"/>
              <w:jc w:val="right"/>
              <w:rPr>
                <w:rFonts w:ascii="Times New Roman" w:eastAsia="Times New Roman" w:hAnsi="Times New Roman" w:cs="Times New Roman"/>
                <w:color w:val="000000"/>
                <w:sz w:val="24"/>
              </w:rPr>
            </w:pPr>
            <w:r w:rsidRPr="00F97CB0">
              <w:rPr>
                <w:rFonts w:ascii="Times New Roman" w:hAnsi="Times New Roman"/>
                <w:color w:val="000000"/>
                <w:sz w:val="24"/>
              </w:rPr>
              <w:t>-</w:t>
            </w:r>
          </w:p>
        </w:tc>
        <w:tc>
          <w:tcPr>
            <w:tcW w:w="1548" w:type="dxa"/>
            <w:tcBorders>
              <w:top w:val="single" w:sz="4" w:space="0" w:color="000000"/>
              <w:left w:val="single" w:sz="4" w:space="0" w:color="000000"/>
              <w:bottom w:val="single" w:sz="4" w:space="0" w:color="000000"/>
              <w:right w:val="single" w:sz="4" w:space="0" w:color="000000"/>
            </w:tcBorders>
          </w:tcPr>
          <w:p w14:paraId="0A082639" w14:textId="6D17936D"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659</w:t>
            </w:r>
          </w:p>
        </w:tc>
      </w:tr>
      <w:tr w:rsidR="00C77982" w:rsidRPr="00F97CB0" w14:paraId="61817ACA" w14:textId="77777777" w:rsidTr="00C77982">
        <w:trPr>
          <w:trHeight w:val="286"/>
        </w:trPr>
        <w:tc>
          <w:tcPr>
            <w:tcW w:w="5955" w:type="dxa"/>
            <w:tcBorders>
              <w:top w:val="single" w:sz="4" w:space="0" w:color="000000"/>
              <w:left w:val="single" w:sz="4" w:space="0" w:color="000000"/>
              <w:bottom w:val="single" w:sz="4" w:space="0" w:color="000000"/>
              <w:right w:val="single" w:sz="4" w:space="0" w:color="000000"/>
            </w:tcBorders>
          </w:tcPr>
          <w:p w14:paraId="553172BD" w14:textId="10718F8B"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431" w:type="dxa"/>
            <w:tcBorders>
              <w:top w:val="single" w:sz="4" w:space="0" w:color="000000"/>
              <w:left w:val="single" w:sz="4" w:space="0" w:color="000000"/>
              <w:bottom w:val="single" w:sz="4" w:space="0" w:color="000000"/>
              <w:right w:val="single" w:sz="4" w:space="0" w:color="000000"/>
            </w:tcBorders>
          </w:tcPr>
          <w:p w14:paraId="650BACD3" w14:textId="69CEBD7C"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102,895</w:t>
            </w:r>
          </w:p>
        </w:tc>
        <w:tc>
          <w:tcPr>
            <w:tcW w:w="1548" w:type="dxa"/>
            <w:tcBorders>
              <w:top w:val="single" w:sz="4" w:space="0" w:color="000000"/>
              <w:left w:val="single" w:sz="4" w:space="0" w:color="000000"/>
              <w:bottom w:val="single" w:sz="4" w:space="0" w:color="000000"/>
              <w:right w:val="single" w:sz="4" w:space="0" w:color="000000"/>
            </w:tcBorders>
          </w:tcPr>
          <w:p w14:paraId="0BF217A3" w14:textId="3C7FADBD"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127,496</w:t>
            </w:r>
          </w:p>
        </w:tc>
      </w:tr>
    </w:tbl>
    <w:p w14:paraId="3F508886" w14:textId="77777777" w:rsidR="00C77982" w:rsidRPr="00F97CB0" w:rsidRDefault="00C77982" w:rsidP="00C77982">
      <w:pPr>
        <w:rPr>
          <w:rFonts w:ascii="Times New Roman" w:hAnsi="Times New Roman" w:cs="Times New Roman"/>
          <w:sz w:val="18"/>
          <w:szCs w:val="18"/>
        </w:rPr>
      </w:pPr>
    </w:p>
    <w:p w14:paraId="7D200095" w14:textId="77777777" w:rsidR="00441385" w:rsidRPr="00F97CB0" w:rsidRDefault="00441385" w:rsidP="00641CA1">
      <w:pPr>
        <w:rPr>
          <w:rFonts w:ascii="Times New Roman" w:hAnsi="Times New Roman" w:cs="Times New Roman"/>
          <w:b/>
          <w:sz w:val="24"/>
          <w:szCs w:val="24"/>
        </w:rPr>
      </w:pPr>
    </w:p>
    <w:p w14:paraId="7DA62B9F" w14:textId="0939104B"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lastRenderedPageBreak/>
        <w:t>Building land</w:t>
      </w:r>
    </w:p>
    <w:p w14:paraId="6AE468C6" w14:textId="6D32BE8C" w:rsidR="00C77982" w:rsidRPr="00F97CB0" w:rsidRDefault="00C77982" w:rsidP="00C77982">
      <w:pPr>
        <w:spacing w:after="0"/>
        <w:rPr>
          <w:rFonts w:ascii="Times New Roman" w:eastAsia="Times New Roman" w:hAnsi="Times New Roman" w:cs="Times New Roman"/>
          <w:color w:val="000000"/>
          <w:sz w:val="24"/>
        </w:rPr>
      </w:pPr>
    </w:p>
    <w:p w14:paraId="668F638B" w14:textId="7403745F"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szCs w:val="24"/>
        </w:rPr>
      </w:pPr>
      <w:r w:rsidRPr="00F97CB0">
        <w:rPr>
          <w:rFonts w:ascii="Times New Roman" w:hAnsi="Times New Roman"/>
          <w:color w:val="000000"/>
          <w:sz w:val="24"/>
          <w:szCs w:val="24"/>
        </w:rPr>
        <w:t>In the books of the Company, as of 31 December 2015, building land is reported in the amount of 3,128 thousand dinars and it relates to urban building land with a total area of 4 ha, 28 ares and 62 m</w:t>
      </w:r>
      <w:r w:rsidRPr="00F97CB0">
        <w:rPr>
          <w:rFonts w:ascii="Times New Roman" w:hAnsi="Times New Roman"/>
          <w:color w:val="000000"/>
          <w:sz w:val="24"/>
          <w:szCs w:val="24"/>
          <w:vertAlign w:val="superscript"/>
        </w:rPr>
        <w:t>2</w:t>
      </w:r>
      <w:r w:rsidRPr="00F97CB0">
        <w:rPr>
          <w:rFonts w:ascii="Times New Roman" w:hAnsi="Times New Roman"/>
          <w:color w:val="000000"/>
          <w:sz w:val="24"/>
          <w:szCs w:val="24"/>
        </w:rPr>
        <w:t xml:space="preserve"> at Cadastral parcel 782</w:t>
      </w:r>
      <w:r w:rsidR="007C0FC0" w:rsidRPr="00F97CB0">
        <w:rPr>
          <w:rFonts w:ascii="Times New Roman" w:hAnsi="Times New Roman"/>
          <w:color w:val="000000"/>
          <w:sz w:val="24"/>
          <w:szCs w:val="24"/>
        </w:rPr>
        <w:t>,</w:t>
      </w:r>
      <w:r w:rsidRPr="00F97CB0">
        <w:rPr>
          <w:rFonts w:ascii="Times New Roman" w:hAnsi="Times New Roman"/>
          <w:color w:val="000000"/>
          <w:sz w:val="24"/>
          <w:szCs w:val="24"/>
        </w:rPr>
        <w:t xml:space="preserve"> registered in the real estate folio in the land register No. 497 CM Rakovica.</w:t>
      </w:r>
    </w:p>
    <w:p w14:paraId="1B442C15" w14:textId="36BB9159" w:rsidR="00C77982" w:rsidRPr="00F97CB0" w:rsidRDefault="00C77982" w:rsidP="00441385">
      <w:pPr>
        <w:spacing w:after="14"/>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On </w:t>
      </w:r>
      <w:r w:rsidR="00E85B38" w:rsidRPr="00F97CB0">
        <w:rPr>
          <w:rFonts w:ascii="Times New Roman" w:hAnsi="Times New Roman"/>
          <w:color w:val="000000"/>
          <w:sz w:val="24"/>
        </w:rPr>
        <w:t xml:space="preserve">9 </w:t>
      </w:r>
      <w:r w:rsidRPr="00F97CB0">
        <w:rPr>
          <w:rFonts w:ascii="Times New Roman" w:hAnsi="Times New Roman"/>
          <w:color w:val="000000"/>
          <w:sz w:val="24"/>
        </w:rPr>
        <w:t xml:space="preserve">October 2013, The Company submitted to the Republic Geodetic Authority request for the conversion of the right of use into ownership on the mentioned land within the meaning of the Law on Planning and Construction. On </w:t>
      </w:r>
      <w:r w:rsidR="00E85B38" w:rsidRPr="00F97CB0">
        <w:rPr>
          <w:rFonts w:ascii="Times New Roman" w:hAnsi="Times New Roman"/>
          <w:color w:val="000000"/>
          <w:sz w:val="24"/>
        </w:rPr>
        <w:t xml:space="preserve">19 </w:t>
      </w:r>
      <w:r w:rsidRPr="00F97CB0">
        <w:rPr>
          <w:rFonts w:ascii="Times New Roman" w:hAnsi="Times New Roman"/>
          <w:color w:val="000000"/>
          <w:sz w:val="24"/>
        </w:rPr>
        <w:t xml:space="preserve">September </w:t>
      </w:r>
      <w:r w:rsidR="00E85B38" w:rsidRPr="00F97CB0">
        <w:rPr>
          <w:rFonts w:ascii="Times New Roman" w:hAnsi="Times New Roman"/>
          <w:color w:val="000000"/>
          <w:sz w:val="24"/>
        </w:rPr>
        <w:t>2016,</w:t>
      </w:r>
      <w:r w:rsidRPr="00F97CB0">
        <w:rPr>
          <w:rFonts w:ascii="Times New Roman" w:hAnsi="Times New Roman"/>
          <w:color w:val="000000"/>
          <w:sz w:val="24"/>
        </w:rPr>
        <w:t xml:space="preserve"> the company supplemented the application requesting the conversion of the right of use on the urban building land into the right of public ownership. On </w:t>
      </w:r>
      <w:r w:rsidR="00E85B38" w:rsidRPr="00F97CB0">
        <w:rPr>
          <w:rFonts w:ascii="Times New Roman" w:hAnsi="Times New Roman"/>
          <w:color w:val="000000"/>
          <w:sz w:val="24"/>
        </w:rPr>
        <w:t xml:space="preserve">3 </w:t>
      </w:r>
      <w:r w:rsidRPr="00F97CB0">
        <w:rPr>
          <w:rFonts w:ascii="Times New Roman" w:hAnsi="Times New Roman"/>
          <w:color w:val="000000"/>
          <w:sz w:val="24"/>
        </w:rPr>
        <w:t xml:space="preserve">October </w:t>
      </w:r>
      <w:r w:rsidR="00E85B38" w:rsidRPr="00F97CB0">
        <w:rPr>
          <w:rFonts w:ascii="Times New Roman" w:hAnsi="Times New Roman"/>
          <w:color w:val="000000"/>
          <w:sz w:val="24"/>
        </w:rPr>
        <w:t>2016,</w:t>
      </w:r>
      <w:r w:rsidRPr="00F97CB0">
        <w:rPr>
          <w:rFonts w:ascii="Times New Roman" w:hAnsi="Times New Roman"/>
          <w:color w:val="000000"/>
          <w:sz w:val="24"/>
        </w:rPr>
        <w:t xml:space="preserve"> the Company submitted the Correction to the supplemented application requesting the conversion of the right of use on the urban building land into the ownership and the registration of the right of ownership in favour of the Company.</w:t>
      </w:r>
    </w:p>
    <w:p w14:paraId="106BCB6C" w14:textId="54C3E6C3" w:rsidR="00C77982" w:rsidRPr="00F97CB0" w:rsidRDefault="00C77982" w:rsidP="00441385">
      <w:pPr>
        <w:spacing w:after="0"/>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The company did not submit a request for the registration of title on state-owned immovable properties on which Jaroslav Černi Water Institute, Belgrade has the right of use within the meaning of Article 82 of the Law on Public Property.</w:t>
      </w:r>
    </w:p>
    <w:p w14:paraId="12679A98" w14:textId="7A78A219" w:rsidR="00C77982" w:rsidRPr="00F97CB0" w:rsidRDefault="00C77982" w:rsidP="00C77982">
      <w:pPr>
        <w:spacing w:after="30"/>
        <w:rPr>
          <w:rFonts w:ascii="Times New Roman" w:eastAsia="Times New Roman" w:hAnsi="Times New Roman" w:cs="Times New Roman"/>
          <w:b/>
          <w:color w:val="000000"/>
          <w:sz w:val="24"/>
          <w:szCs w:val="24"/>
        </w:rPr>
      </w:pPr>
    </w:p>
    <w:p w14:paraId="2BA28114" w14:textId="00EFA26E"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t>Buildings</w:t>
      </w:r>
    </w:p>
    <w:p w14:paraId="4039D0E4" w14:textId="0437077E" w:rsidR="00C77982" w:rsidRPr="00F97CB0" w:rsidRDefault="00C77982" w:rsidP="001F17BD">
      <w:pPr>
        <w:spacing w:after="0"/>
        <w:ind w:firstLine="720"/>
        <w:rPr>
          <w:rFonts w:ascii="Times New Roman" w:eastAsia="Times New Roman" w:hAnsi="Times New Roman" w:cs="Times New Roman"/>
          <w:color w:val="000000"/>
          <w:sz w:val="24"/>
        </w:rPr>
      </w:pPr>
      <w:r w:rsidRPr="00F97CB0">
        <w:rPr>
          <w:rFonts w:ascii="Times New Roman" w:hAnsi="Times New Roman"/>
          <w:color w:val="000000"/>
          <w:sz w:val="24"/>
        </w:rPr>
        <w:t>In the books of the Company, as of 31 December 2015, buildings are reported in the amount of 27,537 thousand dinars and they relate to:</w:t>
      </w:r>
    </w:p>
    <w:p w14:paraId="050FA23C" w14:textId="4E6BF026" w:rsidR="00C77982" w:rsidRPr="00F97CB0" w:rsidRDefault="00C77982" w:rsidP="00C77982">
      <w:pPr>
        <w:spacing w:after="3"/>
        <w:rPr>
          <w:rFonts w:ascii="Times New Roman" w:eastAsia="Times New Roman" w:hAnsi="Times New Roman" w:cs="Times New Roman"/>
          <w:color w:val="000000"/>
          <w:sz w:val="24"/>
        </w:rPr>
      </w:pPr>
    </w:p>
    <w:p w14:paraId="43CF7E63" w14:textId="4E2722B9" w:rsidR="00C77982" w:rsidRPr="00F97CB0"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4 – Buildings – in thousands of dinars</w:t>
      </w:r>
    </w:p>
    <w:tbl>
      <w:tblPr>
        <w:tblStyle w:val="TableGrid2"/>
        <w:tblW w:w="8932" w:type="dxa"/>
        <w:tblInd w:w="0" w:type="dxa"/>
        <w:tblCellMar>
          <w:top w:w="7" w:type="dxa"/>
          <w:left w:w="108" w:type="dxa"/>
          <w:right w:w="48" w:type="dxa"/>
        </w:tblCellMar>
        <w:tblLook w:val="04A0" w:firstRow="1" w:lastRow="0" w:firstColumn="1" w:lastColumn="0" w:noHBand="0" w:noVBand="1"/>
      </w:tblPr>
      <w:tblGrid>
        <w:gridCol w:w="7372"/>
        <w:gridCol w:w="1560"/>
      </w:tblGrid>
      <w:tr w:rsidR="00C77982" w:rsidRPr="00F97CB0" w14:paraId="2975C118" w14:textId="77777777" w:rsidTr="00C77982">
        <w:trPr>
          <w:trHeight w:val="288"/>
        </w:trPr>
        <w:tc>
          <w:tcPr>
            <w:tcW w:w="7372" w:type="dxa"/>
            <w:tcBorders>
              <w:top w:val="single" w:sz="4" w:space="0" w:color="000000"/>
              <w:left w:val="single" w:sz="4" w:space="0" w:color="000000"/>
              <w:bottom w:val="single" w:sz="4" w:space="0" w:color="000000"/>
              <w:right w:val="single" w:sz="4" w:space="0" w:color="000000"/>
            </w:tcBorders>
          </w:tcPr>
          <w:p w14:paraId="0A306459" w14:textId="1DE8D3B3"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7D866FA3" w14:textId="44883611"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C77982" w:rsidRPr="00F97CB0" w14:paraId="5DAD6783"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57D7962" w14:textId="080E311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Building Laboratory</w:t>
            </w:r>
          </w:p>
        </w:tc>
        <w:tc>
          <w:tcPr>
            <w:tcW w:w="1560" w:type="dxa"/>
            <w:tcBorders>
              <w:top w:val="single" w:sz="4" w:space="0" w:color="000000"/>
              <w:left w:val="single" w:sz="4" w:space="0" w:color="000000"/>
              <w:bottom w:val="single" w:sz="4" w:space="0" w:color="000000"/>
              <w:right w:val="single" w:sz="4" w:space="0" w:color="000000"/>
            </w:tcBorders>
          </w:tcPr>
          <w:p w14:paraId="59A658E6" w14:textId="7DD9C53E"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13,800</w:t>
            </w:r>
          </w:p>
        </w:tc>
      </w:tr>
      <w:tr w:rsidR="00C77982" w:rsidRPr="00F97CB0" w14:paraId="73FB8415"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6069055F" w14:textId="47953472"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Hall – laboratory building</w:t>
            </w:r>
          </w:p>
        </w:tc>
        <w:tc>
          <w:tcPr>
            <w:tcW w:w="1560" w:type="dxa"/>
            <w:tcBorders>
              <w:top w:val="single" w:sz="4" w:space="0" w:color="000000"/>
              <w:left w:val="single" w:sz="4" w:space="0" w:color="000000"/>
              <w:bottom w:val="single" w:sz="4" w:space="0" w:color="000000"/>
              <w:right w:val="single" w:sz="4" w:space="0" w:color="000000"/>
            </w:tcBorders>
          </w:tcPr>
          <w:p w14:paraId="38000639" w14:textId="2670D223"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5,155</w:t>
            </w:r>
          </w:p>
        </w:tc>
      </w:tr>
      <w:tr w:rsidR="00C77982" w:rsidRPr="00F97CB0" w14:paraId="0172E113"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13070F7F" w14:textId="3DA2F0D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Building of the Pavilion A</w:t>
            </w:r>
          </w:p>
        </w:tc>
        <w:tc>
          <w:tcPr>
            <w:tcW w:w="1560" w:type="dxa"/>
            <w:tcBorders>
              <w:top w:val="single" w:sz="4" w:space="0" w:color="000000"/>
              <w:left w:val="single" w:sz="4" w:space="0" w:color="000000"/>
              <w:bottom w:val="single" w:sz="4" w:space="0" w:color="000000"/>
              <w:right w:val="single" w:sz="4" w:space="0" w:color="000000"/>
            </w:tcBorders>
          </w:tcPr>
          <w:p w14:paraId="10EA23FA" w14:textId="513A50DF"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3,126</w:t>
            </w:r>
          </w:p>
        </w:tc>
      </w:tr>
      <w:tr w:rsidR="00C77982" w:rsidRPr="00F97CB0" w14:paraId="552E1CFA"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F3152AC" w14:textId="7E175141"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Building of the Pavilion B</w:t>
            </w:r>
          </w:p>
        </w:tc>
        <w:tc>
          <w:tcPr>
            <w:tcW w:w="1560" w:type="dxa"/>
            <w:tcBorders>
              <w:top w:val="single" w:sz="4" w:space="0" w:color="000000"/>
              <w:left w:val="single" w:sz="4" w:space="0" w:color="000000"/>
              <w:bottom w:val="single" w:sz="4" w:space="0" w:color="000000"/>
              <w:right w:val="single" w:sz="4" w:space="0" w:color="000000"/>
            </w:tcBorders>
          </w:tcPr>
          <w:p w14:paraId="123D4FE1" w14:textId="453D51C7"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2,866</w:t>
            </w:r>
          </w:p>
        </w:tc>
      </w:tr>
      <w:tr w:rsidR="00C77982" w:rsidRPr="00F97CB0" w14:paraId="0C972F66"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651A87C9" w14:textId="5F95245F"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Other buildings</w:t>
            </w:r>
          </w:p>
        </w:tc>
        <w:tc>
          <w:tcPr>
            <w:tcW w:w="1560" w:type="dxa"/>
            <w:tcBorders>
              <w:top w:val="single" w:sz="4" w:space="0" w:color="000000"/>
              <w:left w:val="single" w:sz="4" w:space="0" w:color="000000"/>
              <w:bottom w:val="single" w:sz="4" w:space="0" w:color="000000"/>
              <w:right w:val="single" w:sz="4" w:space="0" w:color="000000"/>
            </w:tcBorders>
          </w:tcPr>
          <w:p w14:paraId="45D80DD3" w14:textId="5C77262B"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2,590</w:t>
            </w:r>
          </w:p>
        </w:tc>
      </w:tr>
      <w:tr w:rsidR="00C77982" w:rsidRPr="00F97CB0" w14:paraId="0A4CDD63" w14:textId="77777777" w:rsidTr="00C77982">
        <w:trPr>
          <w:trHeight w:val="288"/>
        </w:trPr>
        <w:tc>
          <w:tcPr>
            <w:tcW w:w="7372" w:type="dxa"/>
            <w:tcBorders>
              <w:top w:val="single" w:sz="4" w:space="0" w:color="000000"/>
              <w:left w:val="single" w:sz="4" w:space="0" w:color="000000"/>
              <w:bottom w:val="single" w:sz="4" w:space="0" w:color="000000"/>
              <w:right w:val="single" w:sz="4" w:space="0" w:color="000000"/>
            </w:tcBorders>
          </w:tcPr>
          <w:p w14:paraId="1F020412" w14:textId="77A130CB"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2B62D9DE" w14:textId="62002885"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27,537</w:t>
            </w:r>
          </w:p>
        </w:tc>
      </w:tr>
    </w:tbl>
    <w:p w14:paraId="41D5DA3C" w14:textId="77777777" w:rsidR="00C77982" w:rsidRPr="00F97CB0" w:rsidRDefault="00C77982" w:rsidP="00C77982">
      <w:pPr>
        <w:spacing w:after="0"/>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502578CF" w14:textId="3B1F5B8C"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Property, plant and equipment are recorded at purchase value in accordance with the Rulebook on Accounting and Accounting Policies of 15 September 2014.</w:t>
      </w:r>
    </w:p>
    <w:p w14:paraId="640C18D6" w14:textId="3D07CC8C"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After initial recognition, property, plant and equipment are registered at purchase value or at cost less the total amount of calculated depreciation and the total amount of impairment loss.</w:t>
      </w:r>
    </w:p>
    <w:p w14:paraId="37881254" w14:textId="6F3EE3A9" w:rsidR="00C77982" w:rsidRPr="00F97CB0" w:rsidRDefault="00C77982" w:rsidP="00F43B88">
      <w:pPr>
        <w:spacing w:after="0"/>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The total calculated depreciation in 2015 is 858 thousand dinars. (Note No 5.2.6.).</w:t>
      </w:r>
    </w:p>
    <w:p w14:paraId="0442863D" w14:textId="77777777" w:rsidR="005A0FC0" w:rsidRPr="00F97CB0" w:rsidRDefault="00C77982" w:rsidP="00641CA1">
      <w:pPr>
        <w:spacing w:after="30"/>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58A96E8D" w14:textId="77777777" w:rsidR="00441385" w:rsidRPr="00F97CB0" w:rsidRDefault="00441385" w:rsidP="00641CA1">
      <w:pPr>
        <w:spacing w:after="30"/>
        <w:rPr>
          <w:rFonts w:ascii="Times New Roman" w:eastAsia="Times New Roman" w:hAnsi="Times New Roman" w:cs="Times New Roman"/>
          <w:b/>
          <w:color w:val="000000"/>
          <w:sz w:val="24"/>
        </w:rPr>
      </w:pPr>
    </w:p>
    <w:p w14:paraId="47038331" w14:textId="77777777" w:rsidR="00441385" w:rsidRPr="00F97CB0" w:rsidRDefault="00441385" w:rsidP="00641CA1">
      <w:pPr>
        <w:spacing w:after="30"/>
        <w:rPr>
          <w:rFonts w:ascii="Times New Roman" w:eastAsia="Times New Roman" w:hAnsi="Times New Roman" w:cs="Times New Roman"/>
          <w:b/>
          <w:color w:val="000000"/>
          <w:sz w:val="24"/>
        </w:rPr>
      </w:pPr>
    </w:p>
    <w:p w14:paraId="74576C55" w14:textId="5AB0AB33" w:rsidR="00C77982" w:rsidRPr="00F97CB0" w:rsidRDefault="00C77982" w:rsidP="00641CA1">
      <w:pPr>
        <w:spacing w:after="30"/>
        <w:rPr>
          <w:rFonts w:ascii="Times New Roman" w:eastAsia="Times New Roman" w:hAnsi="Times New Roman" w:cs="Times New Roman"/>
          <w:b/>
          <w:color w:val="000000"/>
          <w:sz w:val="24"/>
        </w:rPr>
      </w:pPr>
      <w:r w:rsidRPr="00F97CB0">
        <w:rPr>
          <w:rFonts w:ascii="Times New Roman" w:hAnsi="Times New Roman"/>
          <w:b/>
          <w:color w:val="000000"/>
          <w:sz w:val="24"/>
        </w:rPr>
        <w:t>Plant and equipment</w:t>
      </w:r>
    </w:p>
    <w:p w14:paraId="58E3E42D" w14:textId="77777777" w:rsidR="00C77982" w:rsidRPr="00F97CB0" w:rsidRDefault="00C77982" w:rsidP="00C77982">
      <w:pPr>
        <w:spacing w:after="0"/>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39B57062" w14:textId="46A4B771"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lastRenderedPageBreak/>
        <w:t>In the books of the Company, as of 31 December 2015, plant and equipment are reported in the total amount of 66,919 thousand dinars and they relate to:</w:t>
      </w:r>
    </w:p>
    <w:p w14:paraId="00A537DF" w14:textId="77777777" w:rsidR="00C77982" w:rsidRPr="00F97CB0" w:rsidRDefault="00C77982" w:rsidP="00C77982">
      <w:pPr>
        <w:spacing w:after="5"/>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5D5D1870" w14:textId="504DF853" w:rsidR="00C77982" w:rsidRPr="00F97CB0"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Table No 5 – Plant and equipment – in thousands of dinars </w:t>
      </w:r>
    </w:p>
    <w:tbl>
      <w:tblPr>
        <w:tblStyle w:val="TableGrid2"/>
        <w:tblW w:w="8932" w:type="dxa"/>
        <w:tblInd w:w="0" w:type="dxa"/>
        <w:tblCellMar>
          <w:top w:w="7" w:type="dxa"/>
          <w:left w:w="108" w:type="dxa"/>
          <w:right w:w="48" w:type="dxa"/>
        </w:tblCellMar>
        <w:tblLook w:val="04A0" w:firstRow="1" w:lastRow="0" w:firstColumn="1" w:lastColumn="0" w:noHBand="0" w:noVBand="1"/>
      </w:tblPr>
      <w:tblGrid>
        <w:gridCol w:w="7372"/>
        <w:gridCol w:w="1560"/>
      </w:tblGrid>
      <w:tr w:rsidR="00C77982" w:rsidRPr="00F97CB0" w14:paraId="167ACC6B"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577F63E5" w14:textId="381E43D1"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4D281A03" w14:textId="7C4D822F"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C77982" w:rsidRPr="00F97CB0" w14:paraId="038F4AC0"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0000EADC" w14:textId="7C1C73A0"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Equipment for scientific and research activities</w:t>
            </w:r>
          </w:p>
        </w:tc>
        <w:tc>
          <w:tcPr>
            <w:tcW w:w="1560" w:type="dxa"/>
            <w:tcBorders>
              <w:top w:val="single" w:sz="4" w:space="0" w:color="000000"/>
              <w:left w:val="single" w:sz="4" w:space="0" w:color="000000"/>
              <w:bottom w:val="single" w:sz="4" w:space="0" w:color="000000"/>
              <w:right w:val="single" w:sz="4" w:space="0" w:color="000000"/>
            </w:tcBorders>
          </w:tcPr>
          <w:p w14:paraId="3E3EA010" w14:textId="764F6E2F"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32,892</w:t>
            </w:r>
          </w:p>
        </w:tc>
      </w:tr>
      <w:tr w:rsidR="00C77982" w:rsidRPr="00F97CB0" w14:paraId="3FCA452C"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B336D36" w14:textId="6A8CC4FF"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Means of transport and connection</w:t>
            </w:r>
          </w:p>
        </w:tc>
        <w:tc>
          <w:tcPr>
            <w:tcW w:w="1560" w:type="dxa"/>
            <w:tcBorders>
              <w:top w:val="single" w:sz="4" w:space="0" w:color="000000"/>
              <w:left w:val="single" w:sz="4" w:space="0" w:color="000000"/>
              <w:bottom w:val="single" w:sz="4" w:space="0" w:color="000000"/>
              <w:right w:val="single" w:sz="4" w:space="0" w:color="000000"/>
            </w:tcBorders>
          </w:tcPr>
          <w:p w14:paraId="6EF172B4" w14:textId="6042F104"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25,687</w:t>
            </w:r>
          </w:p>
        </w:tc>
      </w:tr>
      <w:tr w:rsidR="00C77982" w:rsidRPr="00F97CB0" w14:paraId="1C772524"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4DCC8479" w14:textId="356E5EDA"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Computer equipment</w:t>
            </w:r>
          </w:p>
        </w:tc>
        <w:tc>
          <w:tcPr>
            <w:tcW w:w="1560" w:type="dxa"/>
            <w:tcBorders>
              <w:top w:val="single" w:sz="4" w:space="0" w:color="000000"/>
              <w:left w:val="single" w:sz="4" w:space="0" w:color="000000"/>
              <w:bottom w:val="single" w:sz="4" w:space="0" w:color="000000"/>
              <w:right w:val="single" w:sz="4" w:space="0" w:color="000000"/>
            </w:tcBorders>
          </w:tcPr>
          <w:p w14:paraId="3A02E77B" w14:textId="03250EAF"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6,966</w:t>
            </w:r>
          </w:p>
        </w:tc>
      </w:tr>
      <w:tr w:rsidR="00C77982" w:rsidRPr="00F97CB0" w14:paraId="4AF7C649"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21D8862F" w14:textId="6639A078"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Machinery and devices</w:t>
            </w:r>
          </w:p>
        </w:tc>
        <w:tc>
          <w:tcPr>
            <w:tcW w:w="1560" w:type="dxa"/>
            <w:tcBorders>
              <w:top w:val="single" w:sz="4" w:space="0" w:color="000000"/>
              <w:left w:val="single" w:sz="4" w:space="0" w:color="000000"/>
              <w:bottom w:val="single" w:sz="4" w:space="0" w:color="000000"/>
              <w:right w:val="single" w:sz="4" w:space="0" w:color="000000"/>
            </w:tcBorders>
          </w:tcPr>
          <w:p w14:paraId="0AA08415" w14:textId="3FB0F616"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352</w:t>
            </w:r>
          </w:p>
        </w:tc>
      </w:tr>
      <w:tr w:rsidR="00C77982" w:rsidRPr="00F97CB0" w14:paraId="0A61D2AE" w14:textId="77777777" w:rsidTr="00C77982">
        <w:trPr>
          <w:trHeight w:val="288"/>
        </w:trPr>
        <w:tc>
          <w:tcPr>
            <w:tcW w:w="7372" w:type="dxa"/>
            <w:tcBorders>
              <w:top w:val="single" w:sz="4" w:space="0" w:color="000000"/>
              <w:left w:val="single" w:sz="4" w:space="0" w:color="000000"/>
              <w:bottom w:val="single" w:sz="4" w:space="0" w:color="000000"/>
              <w:right w:val="single" w:sz="4" w:space="0" w:color="000000"/>
            </w:tcBorders>
          </w:tcPr>
          <w:p w14:paraId="1E7EC240" w14:textId="4BCDFC2D"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Other equipment</w:t>
            </w:r>
          </w:p>
        </w:tc>
        <w:tc>
          <w:tcPr>
            <w:tcW w:w="1560" w:type="dxa"/>
            <w:tcBorders>
              <w:top w:val="single" w:sz="4" w:space="0" w:color="000000"/>
              <w:left w:val="single" w:sz="4" w:space="0" w:color="000000"/>
              <w:bottom w:val="single" w:sz="4" w:space="0" w:color="000000"/>
              <w:right w:val="single" w:sz="4" w:space="0" w:color="000000"/>
            </w:tcBorders>
          </w:tcPr>
          <w:p w14:paraId="7FEEE205" w14:textId="02DD91C6"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1,022</w:t>
            </w:r>
          </w:p>
        </w:tc>
      </w:tr>
      <w:tr w:rsidR="00C77982" w:rsidRPr="00F97CB0" w14:paraId="15991BB8" w14:textId="77777777" w:rsidTr="00C77982">
        <w:trPr>
          <w:trHeight w:val="286"/>
        </w:trPr>
        <w:tc>
          <w:tcPr>
            <w:tcW w:w="7372" w:type="dxa"/>
            <w:tcBorders>
              <w:top w:val="single" w:sz="4" w:space="0" w:color="000000"/>
              <w:left w:val="single" w:sz="4" w:space="0" w:color="000000"/>
              <w:bottom w:val="single" w:sz="4" w:space="0" w:color="000000"/>
              <w:right w:val="single" w:sz="4" w:space="0" w:color="000000"/>
            </w:tcBorders>
          </w:tcPr>
          <w:p w14:paraId="65DC103C" w14:textId="3850295C"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4667C263" w14:textId="092E1301"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66,919</w:t>
            </w:r>
          </w:p>
        </w:tc>
      </w:tr>
    </w:tbl>
    <w:p w14:paraId="2DC92DD3" w14:textId="77777777" w:rsidR="00C77982" w:rsidRPr="00F97CB0" w:rsidRDefault="00C77982" w:rsidP="00C77982">
      <w:pPr>
        <w:spacing w:after="20"/>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1B931682" w14:textId="479BB813"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In 2015, the total increase amounts to 4,766 thousand dinars and is related to the procurement of equipment for scientific and research activities in the amount of 2,353 thousand dinars, the procurement of computers and computer equipment in the amount of 2,349 thousand dinars, as well as other equipment in the amount of 64 thousand dinars.</w:t>
      </w:r>
    </w:p>
    <w:p w14:paraId="63C5CE4E" w14:textId="7E72ECB4" w:rsidR="00C77982" w:rsidRPr="00F97CB0" w:rsidRDefault="00C77982" w:rsidP="0044138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On </w:t>
      </w:r>
      <w:r w:rsidR="00E85B38" w:rsidRPr="00F97CB0">
        <w:rPr>
          <w:rFonts w:ascii="Times New Roman" w:hAnsi="Times New Roman"/>
          <w:color w:val="000000"/>
          <w:sz w:val="24"/>
        </w:rPr>
        <w:t xml:space="preserve">25 </w:t>
      </w:r>
      <w:r w:rsidRPr="00F97CB0">
        <w:rPr>
          <w:rFonts w:ascii="Times New Roman" w:hAnsi="Times New Roman"/>
          <w:color w:val="000000"/>
          <w:sz w:val="24"/>
        </w:rPr>
        <w:t>March 2015, the Company concluded the Contract for the buying and selling of motor vehicle number 980, through a public auction, and on that basis made a profit of 150 thousand dinars (Note number 5.2.12.). The mentioned passenger vehicle was removed from inventory by the decision of the directors of the Company No. 771 of 5 March 2015.</w:t>
      </w:r>
    </w:p>
    <w:p w14:paraId="3688607A" w14:textId="19EFA08A" w:rsidR="00C77982" w:rsidRPr="00F97CB0"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The total calculated depreciation in 2015 is 27,657 thousand dinars. (Note No 5.2.6.)</w:t>
      </w:r>
    </w:p>
    <w:p w14:paraId="5C9469D8" w14:textId="77777777" w:rsidR="00722812" w:rsidRPr="00F97CB0" w:rsidRDefault="00722812" w:rsidP="00722812">
      <w:pPr>
        <w:spacing w:after="5" w:line="267" w:lineRule="auto"/>
        <w:ind w:left="24" w:right="55" w:firstLine="696"/>
        <w:jc w:val="both"/>
        <w:rPr>
          <w:rFonts w:ascii="Times New Roman" w:eastAsia="Times New Roman" w:hAnsi="Times New Roman" w:cs="Times New Roman"/>
          <w:color w:val="000000"/>
          <w:sz w:val="24"/>
        </w:rPr>
      </w:pPr>
    </w:p>
    <w:p w14:paraId="28E9EF81" w14:textId="77777777" w:rsidR="00C77982" w:rsidRPr="00F97CB0" w:rsidRDefault="00C77982" w:rsidP="00C77982">
      <w:pPr>
        <w:keepNext/>
        <w:keepLines/>
        <w:spacing w:after="3" w:line="270" w:lineRule="auto"/>
        <w:ind w:left="-5" w:right="47" w:hanging="10"/>
        <w:jc w:val="both"/>
        <w:outlineLvl w:val="1"/>
        <w:rPr>
          <w:rFonts w:ascii="Times New Roman" w:eastAsia="Times New Roman" w:hAnsi="Times New Roman" w:cs="Times New Roman"/>
          <w:b/>
          <w:color w:val="000000"/>
          <w:sz w:val="24"/>
        </w:rPr>
      </w:pPr>
    </w:p>
    <w:p w14:paraId="6042854A" w14:textId="18EE9E62"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t>Other property, plant and equipment</w:t>
      </w:r>
    </w:p>
    <w:p w14:paraId="6D6D164A" w14:textId="153EDDAF" w:rsidR="00C77982" w:rsidRPr="00F97CB0" w:rsidRDefault="00C77982" w:rsidP="00722812">
      <w:pPr>
        <w:spacing w:after="0"/>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In the books of the Company, as of 31 December 2015, other property and equipment are reported in the total amount of 5,311 thousand dinars and they pertain in full to books and professional literature.</w:t>
      </w:r>
    </w:p>
    <w:p w14:paraId="3E8438C7" w14:textId="2DD93FF3" w:rsidR="005A0FC0" w:rsidRPr="00F97CB0" w:rsidRDefault="00C77982" w:rsidP="00C77982">
      <w:pPr>
        <w:spacing w:after="31"/>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1F43080B" w14:textId="27CB5260" w:rsidR="005A0FC0" w:rsidRPr="00F97CB0" w:rsidRDefault="00C77982" w:rsidP="005A0FC0">
      <w:pPr>
        <w:rPr>
          <w:rFonts w:ascii="Times New Roman" w:hAnsi="Times New Roman" w:cs="Times New Roman"/>
          <w:b/>
          <w:sz w:val="24"/>
          <w:szCs w:val="24"/>
        </w:rPr>
      </w:pPr>
      <w:r w:rsidRPr="00F97CB0">
        <w:rPr>
          <w:rFonts w:ascii="Times New Roman" w:hAnsi="Times New Roman"/>
          <w:b/>
          <w:sz w:val="24"/>
        </w:rPr>
        <w:t>Advances for fixed assets</w:t>
      </w:r>
    </w:p>
    <w:p w14:paraId="14CD3ED9" w14:textId="61D40EA7" w:rsidR="00C77982" w:rsidRPr="00F97CB0" w:rsidRDefault="00C77982" w:rsidP="00722812">
      <w:pPr>
        <w:ind w:firstLine="720"/>
        <w:rPr>
          <w:rFonts w:ascii="Times New Roman" w:hAnsi="Times New Roman" w:cs="Times New Roman"/>
          <w:b/>
          <w:sz w:val="24"/>
          <w:szCs w:val="24"/>
        </w:rPr>
      </w:pPr>
      <w:r w:rsidRPr="00F97CB0">
        <w:rPr>
          <w:rFonts w:ascii="Times New Roman" w:hAnsi="Times New Roman"/>
          <w:color w:val="000000"/>
          <w:sz w:val="24"/>
        </w:rPr>
        <w:t xml:space="preserve">In 2015, the Company procured equipment for scientific and research activities (probes) in the amount of 659 thousand dinars from the supplier Svet instrumenata d.o.o., Belgrade. </w:t>
      </w:r>
    </w:p>
    <w:p w14:paraId="20F0D756" w14:textId="77777777" w:rsidR="00C77982" w:rsidRPr="00F97CB0" w:rsidRDefault="00C77982" w:rsidP="00C77982">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5281C32D" w14:textId="3E23F182"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t>5.1.4. Long-term financial placements</w:t>
      </w:r>
    </w:p>
    <w:p w14:paraId="356A78CC" w14:textId="03F4F0C1" w:rsidR="00722812" w:rsidRPr="00F97CB0" w:rsidRDefault="00C77982" w:rsidP="001F17BD">
      <w:pPr>
        <w:spacing w:after="52"/>
        <w:ind w:firstLine="720"/>
        <w:rPr>
          <w:rFonts w:ascii="Times New Roman" w:eastAsia="Times New Roman" w:hAnsi="Times New Roman" w:cs="Times New Roman"/>
          <w:color w:val="000000"/>
          <w:sz w:val="24"/>
        </w:rPr>
      </w:pPr>
      <w:r w:rsidRPr="00F97CB0">
        <w:rPr>
          <w:rFonts w:ascii="Times New Roman" w:hAnsi="Times New Roman"/>
          <w:color w:val="000000"/>
        </w:rPr>
        <w:t>Long-term financial placements in the amount of 120 thousand dinars are shown in the following table:</w:t>
      </w:r>
    </w:p>
    <w:p w14:paraId="60AA7370" w14:textId="2998ABCB" w:rsidR="00C77982" w:rsidRPr="00F97CB0" w:rsidRDefault="00C77982" w:rsidP="00C77982">
      <w:pPr>
        <w:spacing w:after="21"/>
        <w:ind w:left="70"/>
        <w:rPr>
          <w:rFonts w:ascii="Times New Roman" w:eastAsia="Times New Roman" w:hAnsi="Times New Roman" w:cs="Times New Roman"/>
          <w:color w:val="000000"/>
          <w:sz w:val="24"/>
        </w:rPr>
      </w:pPr>
    </w:p>
    <w:p w14:paraId="061B72F9" w14:textId="65BDF08F" w:rsidR="00C77982" w:rsidRPr="00F97CB0" w:rsidRDefault="00C77982" w:rsidP="00722812">
      <w:pPr>
        <w:spacing w:after="5" w:line="267" w:lineRule="auto"/>
        <w:ind w:left="108" w:right="55"/>
        <w:jc w:val="both"/>
        <w:rPr>
          <w:rFonts w:ascii="Times New Roman" w:eastAsia="Times New Roman" w:hAnsi="Times New Roman" w:cs="Times New Roman"/>
          <w:color w:val="000000"/>
          <w:sz w:val="24"/>
        </w:rPr>
      </w:pPr>
      <w:r w:rsidRPr="00F97CB0">
        <w:rPr>
          <w:rFonts w:ascii="Times New Roman" w:hAnsi="Times New Roman"/>
          <w:color w:val="000000"/>
          <w:sz w:val="24"/>
        </w:rPr>
        <w:t>Table No 6 – Long-term financial placements – in thousands of dinars</w:t>
      </w:r>
    </w:p>
    <w:tbl>
      <w:tblPr>
        <w:tblStyle w:val="TableGrid2"/>
        <w:tblW w:w="8932" w:type="dxa"/>
        <w:tblInd w:w="0" w:type="dxa"/>
        <w:tblCellMar>
          <w:top w:w="12" w:type="dxa"/>
          <w:right w:w="10" w:type="dxa"/>
        </w:tblCellMar>
        <w:tblLook w:val="04A0" w:firstRow="1" w:lastRow="0" w:firstColumn="1" w:lastColumn="0" w:noHBand="0" w:noVBand="1"/>
      </w:tblPr>
      <w:tblGrid>
        <w:gridCol w:w="5814"/>
        <w:gridCol w:w="1532"/>
        <w:gridCol w:w="1586"/>
      </w:tblGrid>
      <w:tr w:rsidR="00C77982" w:rsidRPr="00F97CB0" w14:paraId="03B4C769"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6616616B" w14:textId="42C28ABF"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32" w:type="dxa"/>
            <w:tcBorders>
              <w:top w:val="single" w:sz="4" w:space="0" w:color="000000"/>
              <w:left w:val="single" w:sz="4" w:space="0" w:color="000000"/>
              <w:bottom w:val="single" w:sz="4" w:space="0" w:color="000000"/>
              <w:right w:val="single" w:sz="4" w:space="0" w:color="000000"/>
            </w:tcBorders>
          </w:tcPr>
          <w:p w14:paraId="03A43119" w14:textId="310570DA"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86" w:type="dxa"/>
            <w:tcBorders>
              <w:top w:val="single" w:sz="4" w:space="0" w:color="000000"/>
              <w:left w:val="single" w:sz="4" w:space="0" w:color="000000"/>
              <w:bottom w:val="single" w:sz="4" w:space="0" w:color="000000"/>
              <w:right w:val="single" w:sz="4" w:space="0" w:color="000000"/>
            </w:tcBorders>
          </w:tcPr>
          <w:p w14:paraId="4CFC3CC9" w14:textId="4C087A6D" w:rsidR="00C77982" w:rsidRPr="00F97CB0" w:rsidRDefault="00C77982" w:rsidP="00721F69">
            <w:pPr>
              <w:tabs>
                <w:tab w:val="right" w:pos="1577"/>
              </w:tabs>
              <w:ind w:left="-10"/>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C77982" w:rsidRPr="00F97CB0" w14:paraId="6CFA24DA"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4952B932" w14:textId="3DB95258"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color w:val="000000"/>
                <w:sz w:val="24"/>
              </w:rPr>
              <w:t>Share in the capital of subsidiary legal entities</w:t>
            </w:r>
          </w:p>
        </w:tc>
        <w:tc>
          <w:tcPr>
            <w:tcW w:w="1532" w:type="dxa"/>
            <w:tcBorders>
              <w:top w:val="single" w:sz="4" w:space="0" w:color="000000"/>
              <w:left w:val="single" w:sz="4" w:space="0" w:color="000000"/>
              <w:bottom w:val="single" w:sz="4" w:space="0" w:color="000000"/>
              <w:right w:val="single" w:sz="4" w:space="0" w:color="000000"/>
            </w:tcBorders>
          </w:tcPr>
          <w:p w14:paraId="059799E5" w14:textId="204162D1"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1,017</w:t>
            </w:r>
          </w:p>
        </w:tc>
        <w:tc>
          <w:tcPr>
            <w:tcW w:w="1586" w:type="dxa"/>
            <w:tcBorders>
              <w:top w:val="single" w:sz="4" w:space="0" w:color="000000"/>
              <w:left w:val="single" w:sz="4" w:space="0" w:color="000000"/>
              <w:bottom w:val="single" w:sz="4" w:space="0" w:color="000000"/>
              <w:right w:val="single" w:sz="4" w:space="0" w:color="000000"/>
            </w:tcBorders>
          </w:tcPr>
          <w:p w14:paraId="23F79ACB" w14:textId="0998C20E"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897</w:t>
            </w:r>
          </w:p>
        </w:tc>
      </w:tr>
      <w:tr w:rsidR="00C77982" w:rsidRPr="00F97CB0" w14:paraId="19A6B7EA" w14:textId="77777777" w:rsidTr="00C77982">
        <w:trPr>
          <w:trHeight w:val="562"/>
        </w:trPr>
        <w:tc>
          <w:tcPr>
            <w:tcW w:w="5814" w:type="dxa"/>
            <w:tcBorders>
              <w:top w:val="single" w:sz="4" w:space="0" w:color="000000"/>
              <w:left w:val="single" w:sz="4" w:space="0" w:color="000000"/>
              <w:bottom w:val="single" w:sz="4" w:space="0" w:color="000000"/>
              <w:right w:val="single" w:sz="4" w:space="0" w:color="000000"/>
            </w:tcBorders>
          </w:tcPr>
          <w:p w14:paraId="5364A77F" w14:textId="44593C85"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color w:val="000000"/>
                <w:sz w:val="24"/>
              </w:rPr>
              <w:lastRenderedPageBreak/>
              <w:t>Allowance for long-term financial placements</w:t>
            </w:r>
          </w:p>
        </w:tc>
        <w:tc>
          <w:tcPr>
            <w:tcW w:w="1532" w:type="dxa"/>
            <w:tcBorders>
              <w:top w:val="single" w:sz="4" w:space="0" w:color="000000"/>
              <w:left w:val="single" w:sz="4" w:space="0" w:color="000000"/>
              <w:bottom w:val="single" w:sz="4" w:space="0" w:color="000000"/>
              <w:right w:val="single" w:sz="4" w:space="0" w:color="000000"/>
            </w:tcBorders>
            <w:vAlign w:val="center"/>
          </w:tcPr>
          <w:p w14:paraId="577A86FB" w14:textId="2E73A551" w:rsidR="00C77982" w:rsidRPr="00F97CB0" w:rsidRDefault="00C77982" w:rsidP="00C77982">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(897)</w:t>
            </w:r>
          </w:p>
        </w:tc>
        <w:tc>
          <w:tcPr>
            <w:tcW w:w="1586" w:type="dxa"/>
            <w:tcBorders>
              <w:top w:val="single" w:sz="4" w:space="0" w:color="000000"/>
              <w:left w:val="single" w:sz="4" w:space="0" w:color="000000"/>
              <w:bottom w:val="single" w:sz="4" w:space="0" w:color="000000"/>
              <w:right w:val="single" w:sz="4" w:space="0" w:color="000000"/>
            </w:tcBorders>
            <w:vAlign w:val="center"/>
          </w:tcPr>
          <w:p w14:paraId="12992ED7" w14:textId="2599D697"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(897)</w:t>
            </w:r>
          </w:p>
        </w:tc>
      </w:tr>
      <w:tr w:rsidR="00C77982" w:rsidRPr="00F97CB0" w14:paraId="48BBE04E"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2BEA3C43" w14:textId="19CA213F"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32" w:type="dxa"/>
            <w:tcBorders>
              <w:top w:val="single" w:sz="4" w:space="0" w:color="000000"/>
              <w:left w:val="single" w:sz="4" w:space="0" w:color="000000"/>
              <w:bottom w:val="single" w:sz="4" w:space="0" w:color="000000"/>
              <w:right w:val="single" w:sz="4" w:space="0" w:color="000000"/>
            </w:tcBorders>
          </w:tcPr>
          <w:p w14:paraId="5416AF47" w14:textId="7A6A1ED0"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120</w:t>
            </w:r>
          </w:p>
        </w:tc>
        <w:tc>
          <w:tcPr>
            <w:tcW w:w="1586" w:type="dxa"/>
            <w:tcBorders>
              <w:top w:val="single" w:sz="4" w:space="0" w:color="000000"/>
              <w:left w:val="single" w:sz="4" w:space="0" w:color="000000"/>
              <w:bottom w:val="single" w:sz="4" w:space="0" w:color="000000"/>
              <w:right w:val="single" w:sz="4" w:space="0" w:color="000000"/>
            </w:tcBorders>
          </w:tcPr>
          <w:p w14:paraId="054F27F0" w14:textId="542D02DA" w:rsidR="00C77982" w:rsidRPr="00F97CB0" w:rsidRDefault="00C77982" w:rsidP="00C77982">
            <w:pPr>
              <w:ind w:right="59"/>
              <w:jc w:val="right"/>
              <w:rPr>
                <w:rFonts w:ascii="Times New Roman" w:eastAsia="Times New Roman" w:hAnsi="Times New Roman" w:cs="Times New Roman"/>
                <w:color w:val="000000"/>
                <w:sz w:val="24"/>
              </w:rPr>
            </w:pPr>
            <w:r w:rsidRPr="00F97CB0">
              <w:rPr>
                <w:rFonts w:ascii="Times New Roman" w:hAnsi="Times New Roman"/>
                <w:b/>
                <w:color w:val="000000"/>
                <w:sz w:val="24"/>
              </w:rPr>
              <w:t>-</w:t>
            </w:r>
          </w:p>
        </w:tc>
      </w:tr>
    </w:tbl>
    <w:p w14:paraId="6A98DA10" w14:textId="77777777" w:rsidR="00C77982" w:rsidRPr="00F97CB0" w:rsidRDefault="00C77982" w:rsidP="00C77982">
      <w:pPr>
        <w:spacing w:after="56"/>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04F28DD4" w14:textId="4EBE4148" w:rsidR="00C77982" w:rsidRPr="00F97CB0" w:rsidRDefault="00C77982" w:rsidP="001F17BD">
      <w:pPr>
        <w:spacing w:after="0"/>
        <w:ind w:firstLine="720"/>
        <w:rPr>
          <w:rFonts w:ascii="Times New Roman" w:eastAsia="Times New Roman" w:hAnsi="Times New Roman" w:cs="Times New Roman"/>
          <w:color w:val="000000"/>
          <w:sz w:val="24"/>
        </w:rPr>
      </w:pPr>
      <w:r w:rsidRPr="00F97CB0">
        <w:rPr>
          <w:rFonts w:ascii="Times New Roman" w:hAnsi="Times New Roman"/>
          <w:color w:val="000000"/>
          <w:sz w:val="24"/>
        </w:rPr>
        <w:t>Share in the capital of subsidiary legal entities relates to:</w:t>
      </w:r>
    </w:p>
    <w:p w14:paraId="6837B4B6" w14:textId="77777777" w:rsidR="00C77982" w:rsidRPr="00F97CB0" w:rsidRDefault="00C77982" w:rsidP="00C77982">
      <w:pPr>
        <w:spacing w:after="104"/>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3C1C9AE3" w14:textId="6032EE0E" w:rsidR="00C77982" w:rsidRPr="00F97CB0"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7 – Structure of the share in the capital of subsidiary legal entities – in thousands of dinars</w:t>
      </w:r>
    </w:p>
    <w:tbl>
      <w:tblPr>
        <w:tblStyle w:val="TableGrid2"/>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C77982" w:rsidRPr="00F97CB0" w14:paraId="79FA156E" w14:textId="77777777" w:rsidTr="00C77982">
        <w:trPr>
          <w:trHeight w:val="293"/>
        </w:trPr>
        <w:tc>
          <w:tcPr>
            <w:tcW w:w="7372" w:type="dxa"/>
            <w:tcBorders>
              <w:top w:val="single" w:sz="4" w:space="0" w:color="000000"/>
              <w:left w:val="single" w:sz="4" w:space="0" w:color="000000"/>
              <w:bottom w:val="single" w:sz="4" w:space="0" w:color="000000"/>
              <w:right w:val="single" w:sz="4" w:space="0" w:color="000000"/>
            </w:tcBorders>
          </w:tcPr>
          <w:p w14:paraId="306EB81A" w14:textId="1CE385A0"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22999BC8" w14:textId="3F1F5B7C"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C77982" w:rsidRPr="00F97CB0" w14:paraId="1EEC8A4F" w14:textId="77777777" w:rsidTr="00C77982">
        <w:trPr>
          <w:trHeight w:val="293"/>
        </w:trPr>
        <w:tc>
          <w:tcPr>
            <w:tcW w:w="7372" w:type="dxa"/>
            <w:tcBorders>
              <w:top w:val="single" w:sz="4" w:space="0" w:color="000000"/>
              <w:left w:val="single" w:sz="4" w:space="0" w:color="000000"/>
              <w:bottom w:val="single" w:sz="4" w:space="0" w:color="000000"/>
              <w:right w:val="single" w:sz="4" w:space="0" w:color="000000"/>
            </w:tcBorders>
          </w:tcPr>
          <w:p w14:paraId="0A150BA2" w14:textId="171A6DE4"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Securities, Beobanka a.d. – in bankruptcy, Belgrade</w:t>
            </w:r>
          </w:p>
        </w:tc>
        <w:tc>
          <w:tcPr>
            <w:tcW w:w="1560" w:type="dxa"/>
            <w:tcBorders>
              <w:top w:val="single" w:sz="4" w:space="0" w:color="000000"/>
              <w:left w:val="single" w:sz="4" w:space="0" w:color="000000"/>
              <w:bottom w:val="single" w:sz="4" w:space="0" w:color="000000"/>
              <w:right w:val="single" w:sz="4" w:space="0" w:color="000000"/>
            </w:tcBorders>
          </w:tcPr>
          <w:p w14:paraId="646C0444" w14:textId="6BF68982"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39</w:t>
            </w:r>
          </w:p>
        </w:tc>
      </w:tr>
      <w:tr w:rsidR="00C77982" w:rsidRPr="00F97CB0" w14:paraId="0A067C4E" w14:textId="77777777" w:rsidTr="00C77982">
        <w:trPr>
          <w:trHeight w:val="290"/>
        </w:trPr>
        <w:tc>
          <w:tcPr>
            <w:tcW w:w="7372" w:type="dxa"/>
            <w:tcBorders>
              <w:top w:val="single" w:sz="4" w:space="0" w:color="000000"/>
              <w:left w:val="single" w:sz="4" w:space="0" w:color="000000"/>
              <w:bottom w:val="single" w:sz="4" w:space="0" w:color="000000"/>
              <w:right w:val="single" w:sz="4" w:space="0" w:color="000000"/>
            </w:tcBorders>
          </w:tcPr>
          <w:p w14:paraId="7382B7DC" w14:textId="0841CFCF"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Securities, Beobanka a.d. – in bankruptcy, Belgrade</w:t>
            </w:r>
          </w:p>
        </w:tc>
        <w:tc>
          <w:tcPr>
            <w:tcW w:w="1560" w:type="dxa"/>
            <w:tcBorders>
              <w:top w:val="single" w:sz="4" w:space="0" w:color="000000"/>
              <w:left w:val="single" w:sz="4" w:space="0" w:color="000000"/>
              <w:bottom w:val="single" w:sz="4" w:space="0" w:color="000000"/>
              <w:right w:val="single" w:sz="4" w:space="0" w:color="000000"/>
            </w:tcBorders>
          </w:tcPr>
          <w:p w14:paraId="78D477D7" w14:textId="6C063D94"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858</w:t>
            </w:r>
          </w:p>
        </w:tc>
      </w:tr>
      <w:tr w:rsidR="00C77982" w:rsidRPr="00F97CB0" w14:paraId="4A8C365E" w14:textId="77777777" w:rsidTr="00C77982">
        <w:trPr>
          <w:trHeight w:val="564"/>
        </w:trPr>
        <w:tc>
          <w:tcPr>
            <w:tcW w:w="7372" w:type="dxa"/>
            <w:tcBorders>
              <w:top w:val="single" w:sz="4" w:space="0" w:color="000000"/>
              <w:left w:val="single" w:sz="4" w:space="0" w:color="000000"/>
              <w:bottom w:val="single" w:sz="4" w:space="0" w:color="000000"/>
              <w:right w:val="single" w:sz="4" w:space="0" w:color="000000"/>
            </w:tcBorders>
          </w:tcPr>
          <w:p w14:paraId="35DB5FEE" w14:textId="77E14764" w:rsidR="00C77982" w:rsidRPr="00F97CB0" w:rsidRDefault="00C77982" w:rsidP="00C77982">
            <w:pPr>
              <w:jc w:val="both"/>
              <w:rPr>
                <w:rFonts w:ascii="Times New Roman" w:eastAsia="Times New Roman" w:hAnsi="Times New Roman" w:cs="Times New Roman"/>
                <w:color w:val="000000"/>
                <w:sz w:val="24"/>
              </w:rPr>
            </w:pPr>
            <w:r w:rsidRPr="00F97CB0">
              <w:rPr>
                <w:rFonts w:ascii="Times New Roman" w:hAnsi="Times New Roman"/>
                <w:color w:val="000000"/>
                <w:sz w:val="24"/>
              </w:rPr>
              <w:t>Water for Sustainable Development and Adaptation to Climate Change Centre under the auspices of UNESCO d.o.o., Belgrade</w:t>
            </w:r>
          </w:p>
        </w:tc>
        <w:tc>
          <w:tcPr>
            <w:tcW w:w="1560" w:type="dxa"/>
            <w:tcBorders>
              <w:top w:val="single" w:sz="4" w:space="0" w:color="000000"/>
              <w:left w:val="single" w:sz="4" w:space="0" w:color="000000"/>
              <w:bottom w:val="single" w:sz="4" w:space="0" w:color="000000"/>
              <w:right w:val="single" w:sz="4" w:space="0" w:color="000000"/>
            </w:tcBorders>
            <w:vAlign w:val="center"/>
          </w:tcPr>
          <w:p w14:paraId="3BFBEBA7" w14:textId="187CC07D"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120</w:t>
            </w:r>
          </w:p>
        </w:tc>
      </w:tr>
      <w:tr w:rsidR="00C77982" w:rsidRPr="00F97CB0" w14:paraId="3A4FD067" w14:textId="77777777" w:rsidTr="00C77982">
        <w:trPr>
          <w:trHeight w:val="290"/>
        </w:trPr>
        <w:tc>
          <w:tcPr>
            <w:tcW w:w="7372" w:type="dxa"/>
            <w:tcBorders>
              <w:top w:val="single" w:sz="4" w:space="0" w:color="000000"/>
              <w:left w:val="single" w:sz="4" w:space="0" w:color="000000"/>
              <w:bottom w:val="single" w:sz="4" w:space="0" w:color="000000"/>
              <w:right w:val="single" w:sz="4" w:space="0" w:color="000000"/>
            </w:tcBorders>
          </w:tcPr>
          <w:p w14:paraId="000E7FAE" w14:textId="37BC9CCE"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4744ED48" w14:textId="04F14A50"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1017</w:t>
            </w:r>
          </w:p>
        </w:tc>
      </w:tr>
    </w:tbl>
    <w:p w14:paraId="22FAE074" w14:textId="77777777" w:rsidR="00C77982" w:rsidRPr="00F97CB0" w:rsidRDefault="00C77982" w:rsidP="00C77982">
      <w:pPr>
        <w:spacing w:after="94"/>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0D817E3D" w14:textId="48F85784" w:rsidR="00C77982" w:rsidRPr="00F97CB0"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On </w:t>
      </w:r>
      <w:r w:rsidR="000A0081" w:rsidRPr="00F97CB0">
        <w:rPr>
          <w:rFonts w:ascii="Times New Roman" w:hAnsi="Times New Roman"/>
          <w:color w:val="000000"/>
          <w:sz w:val="24"/>
        </w:rPr>
        <w:t xml:space="preserve">8 </w:t>
      </w:r>
      <w:r w:rsidRPr="00F97CB0">
        <w:rPr>
          <w:rFonts w:ascii="Times New Roman" w:hAnsi="Times New Roman"/>
          <w:color w:val="000000"/>
          <w:sz w:val="24"/>
        </w:rPr>
        <w:t>April 2015, the Company made a payment of 120 thousand dinars for the initial capital of Water Centre for Sustainable Development and Adaptation to Climate Change under the auspices of UNESCO d.o.o., Belgrade, with 100% capital share.</w:t>
      </w:r>
    </w:p>
    <w:p w14:paraId="3BD49133" w14:textId="7A423F30" w:rsidR="00C77982" w:rsidRPr="00F97CB0" w:rsidRDefault="00C77982" w:rsidP="00C77982">
      <w:pPr>
        <w:spacing w:after="101"/>
        <w:rPr>
          <w:rFonts w:ascii="Times New Roman" w:eastAsia="Times New Roman" w:hAnsi="Times New Roman" w:cs="Times New Roman"/>
          <w:color w:val="000000"/>
          <w:sz w:val="24"/>
        </w:rPr>
      </w:pPr>
    </w:p>
    <w:p w14:paraId="64D31D5A" w14:textId="3700B2C1" w:rsidR="00C77982" w:rsidRPr="00F97CB0"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Agreement between the Government of the Republic of Serbia and the International Organi</w:t>
      </w:r>
      <w:r w:rsidR="00AB6C60" w:rsidRPr="00F97CB0">
        <w:rPr>
          <w:rFonts w:ascii="Times New Roman" w:hAnsi="Times New Roman"/>
          <w:color w:val="000000"/>
          <w:sz w:val="24"/>
        </w:rPr>
        <w:t>s</w:t>
      </w:r>
      <w:r w:rsidRPr="00F97CB0">
        <w:rPr>
          <w:rFonts w:ascii="Times New Roman" w:hAnsi="Times New Roman"/>
          <w:color w:val="000000"/>
          <w:sz w:val="24"/>
        </w:rPr>
        <w:t xml:space="preserve">ation for Education, Science and Culture of the United Nations (UNESCO) regarding the establishment of the mentioned Centre of 24 April 2013 was ratified by the Law on Confirmation of the Agreement between the Government of the Republic of Serbia and UNESCO regarding the establishment of the Water Centre for Sustainable Development and Adaptation to Climate Change as a Category 2 Centre under the auspices of UNESCO on </w:t>
      </w:r>
      <w:r w:rsidR="000A0081" w:rsidRPr="00F97CB0">
        <w:rPr>
          <w:rFonts w:ascii="Times New Roman" w:hAnsi="Times New Roman"/>
          <w:color w:val="000000"/>
          <w:sz w:val="24"/>
        </w:rPr>
        <w:t xml:space="preserve">9 </w:t>
      </w:r>
      <w:r w:rsidRPr="00F97CB0">
        <w:rPr>
          <w:rFonts w:ascii="Times New Roman" w:hAnsi="Times New Roman"/>
          <w:color w:val="000000"/>
          <w:sz w:val="24"/>
        </w:rPr>
        <w:t>September 2014.</w:t>
      </w:r>
    </w:p>
    <w:p w14:paraId="1219FF02" w14:textId="77777777" w:rsidR="00C77982" w:rsidRPr="00F97CB0" w:rsidRDefault="00C77982" w:rsidP="00C77982">
      <w:pPr>
        <w:keepNext/>
        <w:keepLines/>
        <w:spacing w:before="40" w:after="0"/>
        <w:ind w:left="-5" w:right="47"/>
        <w:outlineLvl w:val="2"/>
        <w:rPr>
          <w:rFonts w:ascii="Times New Roman" w:eastAsia="Times New Roman" w:hAnsi="Times New Roman" w:cs="Times New Roman"/>
          <w:color w:val="000000"/>
          <w:sz w:val="24"/>
          <w:szCs w:val="24"/>
        </w:rPr>
      </w:pPr>
    </w:p>
    <w:p w14:paraId="0A58A621" w14:textId="30D66AB5" w:rsidR="00C77982" w:rsidRPr="00F97CB0" w:rsidRDefault="00C77982" w:rsidP="00641CA1">
      <w:pPr>
        <w:rPr>
          <w:rFonts w:ascii="Times New Roman" w:hAnsi="Times New Roman" w:cs="Times New Roman"/>
          <w:b/>
          <w:sz w:val="24"/>
          <w:szCs w:val="24"/>
        </w:rPr>
      </w:pPr>
      <w:r w:rsidRPr="00F97CB0">
        <w:rPr>
          <w:rFonts w:ascii="Times New Roman" w:hAnsi="Times New Roman"/>
        </w:rPr>
        <w:t xml:space="preserve"> </w:t>
      </w:r>
      <w:r w:rsidRPr="00F97CB0">
        <w:rPr>
          <w:rFonts w:ascii="Times New Roman" w:hAnsi="Times New Roman"/>
          <w:b/>
          <w:sz w:val="24"/>
        </w:rPr>
        <w:t>5.1.5. Deferred tax assets</w:t>
      </w:r>
    </w:p>
    <w:p w14:paraId="7A70366F" w14:textId="2CC87E5E" w:rsidR="00C77982" w:rsidRPr="00F97CB0" w:rsidRDefault="00C77982" w:rsidP="00641CA1">
      <w:pPr>
        <w:spacing w:after="103"/>
        <w:rPr>
          <w:rFonts w:ascii="Times New Roman" w:eastAsia="Times New Roman" w:hAnsi="Times New Roman" w:cs="Times New Roman"/>
          <w:color w:val="000000"/>
          <w:sz w:val="24"/>
        </w:rPr>
      </w:pPr>
      <w:r w:rsidRPr="00F97CB0">
        <w:rPr>
          <w:rFonts w:ascii="Times New Roman" w:hAnsi="Times New Roman"/>
          <w:color w:val="000000"/>
          <w:sz w:val="16"/>
        </w:rPr>
        <w:t xml:space="preserve"> </w:t>
      </w:r>
      <w:r w:rsidRPr="00F97CB0">
        <w:rPr>
          <w:rFonts w:ascii="Times New Roman" w:hAnsi="Times New Roman"/>
          <w:color w:val="000000"/>
          <w:sz w:val="24"/>
        </w:rPr>
        <w:t>Table No 9 – Deferred tax assets – in thousands of dinars</w:t>
      </w:r>
    </w:p>
    <w:tbl>
      <w:tblPr>
        <w:tblStyle w:val="TableGrid2"/>
        <w:tblW w:w="8932" w:type="dxa"/>
        <w:tblInd w:w="0" w:type="dxa"/>
        <w:tblCellMar>
          <w:top w:w="7" w:type="dxa"/>
          <w:right w:w="10" w:type="dxa"/>
        </w:tblCellMar>
        <w:tblLook w:val="04A0" w:firstRow="1" w:lastRow="0" w:firstColumn="1" w:lastColumn="0" w:noHBand="0" w:noVBand="1"/>
      </w:tblPr>
      <w:tblGrid>
        <w:gridCol w:w="5814"/>
        <w:gridCol w:w="1558"/>
        <w:gridCol w:w="1560"/>
      </w:tblGrid>
      <w:tr w:rsidR="00C77982" w:rsidRPr="00F97CB0" w14:paraId="1B88E83E"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3DE54386" w14:textId="22A4A31C"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1F5C479E" w14:textId="1DB45C5C"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32344D5E" w14:textId="0300573C" w:rsidR="00C77982" w:rsidRPr="00F97CB0" w:rsidRDefault="00C77982" w:rsidP="00721F69">
            <w:pPr>
              <w:tabs>
                <w:tab w:val="right" w:pos="1550"/>
              </w:tabs>
              <w:ind w:left="-10"/>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C77982" w:rsidRPr="00F97CB0" w14:paraId="44B2C681"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6E4244DF" w14:textId="21121D2D"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color w:val="000000"/>
                <w:sz w:val="24"/>
              </w:rPr>
              <w:t>Deferred tax assets</w:t>
            </w:r>
          </w:p>
        </w:tc>
        <w:tc>
          <w:tcPr>
            <w:tcW w:w="1558" w:type="dxa"/>
            <w:tcBorders>
              <w:top w:val="single" w:sz="4" w:space="0" w:color="000000"/>
              <w:left w:val="single" w:sz="4" w:space="0" w:color="000000"/>
              <w:bottom w:val="single" w:sz="4" w:space="0" w:color="000000"/>
              <w:right w:val="single" w:sz="4" w:space="0" w:color="000000"/>
            </w:tcBorders>
          </w:tcPr>
          <w:p w14:paraId="7F59219C" w14:textId="4DFA7E72"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18,058</w:t>
            </w:r>
          </w:p>
        </w:tc>
        <w:tc>
          <w:tcPr>
            <w:tcW w:w="1560" w:type="dxa"/>
            <w:tcBorders>
              <w:top w:val="single" w:sz="4" w:space="0" w:color="000000"/>
              <w:left w:val="single" w:sz="4" w:space="0" w:color="000000"/>
              <w:bottom w:val="single" w:sz="4" w:space="0" w:color="000000"/>
              <w:right w:val="single" w:sz="4" w:space="0" w:color="000000"/>
            </w:tcBorders>
          </w:tcPr>
          <w:p w14:paraId="196B4E97" w14:textId="0FCA5FCF" w:rsidR="00C77982" w:rsidRPr="00F97CB0" w:rsidRDefault="00C77982" w:rsidP="00C77982">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18,293</w:t>
            </w:r>
          </w:p>
        </w:tc>
      </w:tr>
      <w:tr w:rsidR="00C77982" w:rsidRPr="00F97CB0" w14:paraId="4215E3D6"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19761FED" w14:textId="4EF5FD12"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63B39180" w14:textId="1DD1AC44"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18,058</w:t>
            </w:r>
          </w:p>
        </w:tc>
        <w:tc>
          <w:tcPr>
            <w:tcW w:w="1560" w:type="dxa"/>
            <w:tcBorders>
              <w:top w:val="single" w:sz="4" w:space="0" w:color="000000"/>
              <w:left w:val="single" w:sz="4" w:space="0" w:color="000000"/>
              <w:bottom w:val="single" w:sz="4" w:space="0" w:color="000000"/>
              <w:right w:val="single" w:sz="4" w:space="0" w:color="000000"/>
            </w:tcBorders>
          </w:tcPr>
          <w:p w14:paraId="7AE1C37F" w14:textId="61CA3707" w:rsidR="00C77982" w:rsidRPr="00F97CB0" w:rsidRDefault="00C77982" w:rsidP="00C77982">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18,293</w:t>
            </w:r>
          </w:p>
        </w:tc>
      </w:tr>
    </w:tbl>
    <w:p w14:paraId="5CD25697" w14:textId="77777777" w:rsidR="00C77982" w:rsidRPr="00F97CB0" w:rsidRDefault="00C77982" w:rsidP="00C77982">
      <w:pPr>
        <w:spacing w:after="9"/>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p w14:paraId="0C50D47F" w14:textId="25ADF58A" w:rsidR="00C77982" w:rsidRPr="00F97CB0"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Deferred tax assets are income tax amounts that can are recoverable in a future period on the basis of deductible temporary differences, unused tax credits carried forward and recognized tax losses.</w:t>
      </w:r>
    </w:p>
    <w:p w14:paraId="531B0B05" w14:textId="77777777" w:rsidR="00FF4D07" w:rsidRPr="00F97CB0" w:rsidRDefault="00FF4D07" w:rsidP="00C77982">
      <w:pPr>
        <w:spacing w:after="5" w:line="267" w:lineRule="auto"/>
        <w:ind w:left="24" w:right="55" w:hanging="10"/>
        <w:jc w:val="both"/>
        <w:rPr>
          <w:rFonts w:ascii="Times New Roman" w:eastAsia="Times New Roman" w:hAnsi="Times New Roman" w:cs="Times New Roman"/>
          <w:color w:val="000000"/>
          <w:sz w:val="24"/>
        </w:rPr>
      </w:pPr>
    </w:p>
    <w:p w14:paraId="13F4C65C" w14:textId="1DB17B7D" w:rsidR="00C77982" w:rsidRPr="00F97CB0" w:rsidRDefault="00C77982"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They are recognized to the extent that it is probable that future taxable profit will be gained, and they relate to:</w:t>
      </w:r>
    </w:p>
    <w:p w14:paraId="306A7012" w14:textId="77777777" w:rsidR="00C77982" w:rsidRPr="00F97CB0" w:rsidRDefault="00C77982" w:rsidP="00C77982">
      <w:pPr>
        <w:spacing w:after="70"/>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p w14:paraId="7E5A224D" w14:textId="3CDB2168" w:rsidR="00C77982" w:rsidRPr="00F97CB0" w:rsidRDefault="00C77982" w:rsidP="00C77982">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10 – Deferred tax assets – in thousands of dinars</w:t>
      </w:r>
    </w:p>
    <w:tbl>
      <w:tblPr>
        <w:tblStyle w:val="TableGrid2"/>
        <w:tblW w:w="8918" w:type="dxa"/>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 w:type="dxa"/>
          <w:left w:w="108" w:type="dxa"/>
          <w:right w:w="48" w:type="dxa"/>
        </w:tblCellMar>
        <w:tblLook w:val="04A0" w:firstRow="1" w:lastRow="0" w:firstColumn="1" w:lastColumn="0" w:noHBand="0" w:noVBand="1"/>
      </w:tblPr>
      <w:tblGrid>
        <w:gridCol w:w="7358"/>
        <w:gridCol w:w="1560"/>
      </w:tblGrid>
      <w:tr w:rsidR="00C77982" w:rsidRPr="00F97CB0" w14:paraId="2157EAAD" w14:textId="77777777" w:rsidTr="000A0081">
        <w:trPr>
          <w:trHeight w:val="295"/>
        </w:trPr>
        <w:tc>
          <w:tcPr>
            <w:tcW w:w="7358" w:type="dxa"/>
          </w:tcPr>
          <w:p w14:paraId="62E2D3EA" w14:textId="4844BB72" w:rsidR="00C77982" w:rsidRPr="00F97CB0" w:rsidRDefault="00C77982" w:rsidP="00C77982">
            <w:pPr>
              <w:rPr>
                <w:rFonts w:ascii="Times New Roman" w:eastAsia="Times New Roman" w:hAnsi="Times New Roman" w:cs="Times New Roman"/>
                <w:b/>
                <w:bCs/>
                <w:color w:val="000000"/>
                <w:sz w:val="24"/>
              </w:rPr>
            </w:pPr>
            <w:r w:rsidRPr="00F97CB0">
              <w:rPr>
                <w:rFonts w:ascii="Times New Roman" w:hAnsi="Times New Roman"/>
                <w:b/>
                <w:bCs/>
                <w:color w:val="000000"/>
                <w:sz w:val="24"/>
              </w:rPr>
              <w:lastRenderedPageBreak/>
              <w:t>Name</w:t>
            </w:r>
          </w:p>
        </w:tc>
        <w:tc>
          <w:tcPr>
            <w:tcW w:w="1560" w:type="dxa"/>
          </w:tcPr>
          <w:p w14:paraId="32E8A03C" w14:textId="3CC99DB7"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color w:val="000000"/>
                <w:sz w:val="24"/>
              </w:rPr>
              <w:t>2015</w:t>
            </w:r>
          </w:p>
        </w:tc>
      </w:tr>
      <w:tr w:rsidR="00C77982" w:rsidRPr="00F97CB0" w14:paraId="3B2336B5" w14:textId="77777777" w:rsidTr="000A0081">
        <w:trPr>
          <w:trHeight w:val="295"/>
        </w:trPr>
        <w:tc>
          <w:tcPr>
            <w:tcW w:w="7358" w:type="dxa"/>
          </w:tcPr>
          <w:p w14:paraId="44D2B043" w14:textId="5D3A0BF7"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Deferred tax assets based on temporary differences</w:t>
            </w:r>
          </w:p>
        </w:tc>
        <w:tc>
          <w:tcPr>
            <w:tcW w:w="1560" w:type="dxa"/>
          </w:tcPr>
          <w:p w14:paraId="61C0C3C5" w14:textId="5C399CC2"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10,356</w:t>
            </w:r>
          </w:p>
        </w:tc>
      </w:tr>
      <w:tr w:rsidR="00C77982" w:rsidRPr="00F97CB0" w14:paraId="4547CC71" w14:textId="77777777" w:rsidTr="000A0081">
        <w:trPr>
          <w:trHeight w:val="298"/>
        </w:trPr>
        <w:tc>
          <w:tcPr>
            <w:tcW w:w="7358" w:type="dxa"/>
          </w:tcPr>
          <w:p w14:paraId="50F684EF" w14:textId="16E9E291" w:rsidR="00C77982" w:rsidRPr="00F97CB0" w:rsidRDefault="00C77982" w:rsidP="00C77982">
            <w:pPr>
              <w:rPr>
                <w:rFonts w:ascii="Times New Roman" w:eastAsia="Times New Roman" w:hAnsi="Times New Roman" w:cs="Times New Roman"/>
                <w:color w:val="000000"/>
                <w:sz w:val="24"/>
              </w:rPr>
            </w:pPr>
            <w:r w:rsidRPr="00F97CB0">
              <w:rPr>
                <w:rFonts w:ascii="Times New Roman" w:hAnsi="Times New Roman"/>
                <w:color w:val="000000"/>
                <w:sz w:val="24"/>
              </w:rPr>
              <w:t>Unused tax credits from previous years</w:t>
            </w:r>
          </w:p>
        </w:tc>
        <w:tc>
          <w:tcPr>
            <w:tcW w:w="1560" w:type="dxa"/>
          </w:tcPr>
          <w:p w14:paraId="1C56B418" w14:textId="293FAAAD"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8602</w:t>
            </w:r>
          </w:p>
        </w:tc>
      </w:tr>
      <w:tr w:rsidR="00C77982" w:rsidRPr="00F97CB0" w14:paraId="1ED2D92C" w14:textId="77777777" w:rsidTr="000A0081">
        <w:trPr>
          <w:trHeight w:val="295"/>
        </w:trPr>
        <w:tc>
          <w:tcPr>
            <w:tcW w:w="7358" w:type="dxa"/>
          </w:tcPr>
          <w:p w14:paraId="6E7AEF14" w14:textId="25A5945E" w:rsidR="00C77982" w:rsidRPr="00F97CB0" w:rsidRDefault="00C77982" w:rsidP="00C77982">
            <w:pPr>
              <w:rPr>
                <w:rFonts w:ascii="Times New Roman" w:eastAsia="Times New Roman" w:hAnsi="Times New Roman" w:cs="Times New Roman"/>
                <w:b/>
                <w:bCs/>
                <w:color w:val="000000"/>
                <w:sz w:val="24"/>
              </w:rPr>
            </w:pPr>
            <w:r w:rsidRPr="00F97CB0">
              <w:rPr>
                <w:rFonts w:ascii="Times New Roman" w:hAnsi="Times New Roman"/>
                <w:b/>
                <w:bCs/>
                <w:color w:val="000000"/>
                <w:sz w:val="24"/>
              </w:rPr>
              <w:t>Total</w:t>
            </w:r>
          </w:p>
        </w:tc>
        <w:tc>
          <w:tcPr>
            <w:tcW w:w="1560" w:type="dxa"/>
          </w:tcPr>
          <w:p w14:paraId="7D32BEE9" w14:textId="0A836D6B"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18,058</w:t>
            </w:r>
          </w:p>
        </w:tc>
      </w:tr>
    </w:tbl>
    <w:p w14:paraId="19E22F73" w14:textId="7860AE1D" w:rsidR="00C77982" w:rsidRPr="00F97CB0" w:rsidRDefault="00C77982" w:rsidP="00C77982">
      <w:pPr>
        <w:keepNext/>
        <w:keepLines/>
        <w:spacing w:after="3" w:line="270" w:lineRule="auto"/>
        <w:ind w:left="-5" w:right="47" w:hanging="10"/>
        <w:jc w:val="both"/>
        <w:outlineLvl w:val="2"/>
        <w:rPr>
          <w:rFonts w:ascii="Times New Roman" w:eastAsia="Times New Roman" w:hAnsi="Times New Roman" w:cs="Times New Roman"/>
          <w:color w:val="000000"/>
          <w:sz w:val="24"/>
        </w:rPr>
      </w:pPr>
    </w:p>
    <w:p w14:paraId="300485BF" w14:textId="77777777" w:rsidR="00722812" w:rsidRPr="00F97CB0" w:rsidRDefault="00722812" w:rsidP="00C77982">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154306AD" w14:textId="409AB125" w:rsidR="00C77982" w:rsidRPr="00F97CB0" w:rsidRDefault="00C77982" w:rsidP="00641CA1">
      <w:pPr>
        <w:rPr>
          <w:rFonts w:ascii="Times New Roman" w:hAnsi="Times New Roman" w:cs="Times New Roman"/>
          <w:b/>
          <w:sz w:val="24"/>
          <w:szCs w:val="24"/>
        </w:rPr>
      </w:pPr>
      <w:r w:rsidRPr="00F97CB0">
        <w:rPr>
          <w:rFonts w:ascii="Times New Roman" w:hAnsi="Times New Roman"/>
          <w:b/>
          <w:sz w:val="24"/>
        </w:rPr>
        <w:t>5.1.6. Stocks</w:t>
      </w:r>
    </w:p>
    <w:p w14:paraId="5DD4B675" w14:textId="098AAC24" w:rsidR="00C77982" w:rsidRPr="00F97CB0" w:rsidRDefault="00C77982" w:rsidP="001F17BD">
      <w:pPr>
        <w:spacing w:after="9"/>
        <w:ind w:firstLine="720"/>
        <w:rPr>
          <w:rFonts w:ascii="Times New Roman" w:eastAsia="Times New Roman" w:hAnsi="Times New Roman" w:cs="Times New Roman"/>
          <w:color w:val="000000"/>
          <w:sz w:val="24"/>
        </w:rPr>
      </w:pPr>
      <w:r w:rsidRPr="00F97CB0">
        <w:rPr>
          <w:rFonts w:ascii="Times New Roman" w:hAnsi="Times New Roman"/>
          <w:color w:val="000000"/>
          <w:sz w:val="24"/>
        </w:rPr>
        <w:t>In the books of the Company, as of 31 December 2015, stocks are reported in the amount of 4,261 thousand dinars, and they relate to:</w:t>
      </w:r>
    </w:p>
    <w:p w14:paraId="44688AD5" w14:textId="77777777" w:rsidR="00C77982" w:rsidRPr="00F97CB0" w:rsidRDefault="00C77982" w:rsidP="00C77982">
      <w:pPr>
        <w:spacing w:after="4"/>
        <w:ind w:right="67"/>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79A2EF88" w14:textId="27FA906F" w:rsidR="00C77982" w:rsidRPr="00F97CB0" w:rsidRDefault="00C77982" w:rsidP="00C77982">
      <w:pPr>
        <w:spacing w:after="5" w:line="267" w:lineRule="auto"/>
        <w:ind w:left="10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11 – Stocks – in thousands of dinars</w:t>
      </w:r>
    </w:p>
    <w:tbl>
      <w:tblPr>
        <w:tblStyle w:val="TableGrid2"/>
        <w:tblW w:w="8932" w:type="dxa"/>
        <w:tblInd w:w="0" w:type="dxa"/>
        <w:tblCellMar>
          <w:top w:w="9" w:type="dxa"/>
          <w:right w:w="10" w:type="dxa"/>
        </w:tblCellMar>
        <w:tblLook w:val="04A0" w:firstRow="1" w:lastRow="0" w:firstColumn="1" w:lastColumn="0" w:noHBand="0" w:noVBand="1"/>
      </w:tblPr>
      <w:tblGrid>
        <w:gridCol w:w="5814"/>
        <w:gridCol w:w="1532"/>
        <w:gridCol w:w="1586"/>
      </w:tblGrid>
      <w:tr w:rsidR="00C77982" w:rsidRPr="00F97CB0" w14:paraId="0A614724"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7ACC32A8" w14:textId="5283C45F"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32" w:type="dxa"/>
            <w:tcBorders>
              <w:top w:val="single" w:sz="4" w:space="0" w:color="000000"/>
              <w:left w:val="single" w:sz="4" w:space="0" w:color="000000"/>
              <w:bottom w:val="single" w:sz="4" w:space="0" w:color="000000"/>
              <w:right w:val="single" w:sz="4" w:space="0" w:color="000000"/>
            </w:tcBorders>
          </w:tcPr>
          <w:p w14:paraId="06C059C9" w14:textId="4E70455E" w:rsidR="00C77982" w:rsidRPr="00F97CB0" w:rsidRDefault="00C77982"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86" w:type="dxa"/>
            <w:tcBorders>
              <w:top w:val="single" w:sz="4" w:space="0" w:color="000000"/>
              <w:left w:val="single" w:sz="4" w:space="0" w:color="000000"/>
              <w:bottom w:val="single" w:sz="4" w:space="0" w:color="000000"/>
              <w:right w:val="single" w:sz="4" w:space="0" w:color="000000"/>
            </w:tcBorders>
          </w:tcPr>
          <w:p w14:paraId="1C412626" w14:textId="65FD2D8E" w:rsidR="00C77982" w:rsidRPr="00F97CB0" w:rsidRDefault="00C77982" w:rsidP="00721F69">
            <w:pPr>
              <w:tabs>
                <w:tab w:val="right" w:pos="1577"/>
              </w:tabs>
              <w:ind w:left="-10"/>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C77982" w:rsidRPr="00F97CB0" w14:paraId="5ED01543"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50F2E08E" w14:textId="24114662"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color w:val="000000"/>
                <w:sz w:val="24"/>
              </w:rPr>
              <w:t>Materials, spare parts, tools and small inventory items</w:t>
            </w:r>
          </w:p>
        </w:tc>
        <w:tc>
          <w:tcPr>
            <w:tcW w:w="1532" w:type="dxa"/>
            <w:tcBorders>
              <w:top w:val="single" w:sz="4" w:space="0" w:color="000000"/>
              <w:left w:val="single" w:sz="4" w:space="0" w:color="000000"/>
              <w:bottom w:val="single" w:sz="4" w:space="0" w:color="000000"/>
              <w:right w:val="single" w:sz="4" w:space="0" w:color="000000"/>
            </w:tcBorders>
          </w:tcPr>
          <w:p w14:paraId="109D956F" w14:textId="104FA19F"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959</w:t>
            </w:r>
          </w:p>
        </w:tc>
        <w:tc>
          <w:tcPr>
            <w:tcW w:w="1586" w:type="dxa"/>
            <w:tcBorders>
              <w:top w:val="single" w:sz="4" w:space="0" w:color="000000"/>
              <w:left w:val="single" w:sz="4" w:space="0" w:color="000000"/>
              <w:bottom w:val="single" w:sz="4" w:space="0" w:color="000000"/>
              <w:right w:val="single" w:sz="4" w:space="0" w:color="000000"/>
            </w:tcBorders>
          </w:tcPr>
          <w:p w14:paraId="087A81BE" w14:textId="67B4E3BD"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701</w:t>
            </w:r>
          </w:p>
        </w:tc>
      </w:tr>
      <w:tr w:rsidR="00C77982" w:rsidRPr="00F97CB0" w14:paraId="3CA864DF"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6FCC90DD" w14:textId="45C5D739"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color w:val="000000"/>
                <w:sz w:val="24"/>
              </w:rPr>
              <w:t>Goods</w:t>
            </w:r>
          </w:p>
        </w:tc>
        <w:tc>
          <w:tcPr>
            <w:tcW w:w="1532" w:type="dxa"/>
            <w:tcBorders>
              <w:top w:val="single" w:sz="4" w:space="0" w:color="000000"/>
              <w:left w:val="single" w:sz="4" w:space="0" w:color="000000"/>
              <w:bottom w:val="single" w:sz="4" w:space="0" w:color="000000"/>
              <w:right w:val="single" w:sz="4" w:space="0" w:color="000000"/>
            </w:tcBorders>
          </w:tcPr>
          <w:p w14:paraId="15DE7336" w14:textId="59F80848"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247</w:t>
            </w:r>
          </w:p>
        </w:tc>
        <w:tc>
          <w:tcPr>
            <w:tcW w:w="1586" w:type="dxa"/>
            <w:tcBorders>
              <w:top w:val="single" w:sz="4" w:space="0" w:color="000000"/>
              <w:left w:val="single" w:sz="4" w:space="0" w:color="000000"/>
              <w:bottom w:val="single" w:sz="4" w:space="0" w:color="000000"/>
              <w:right w:val="single" w:sz="4" w:space="0" w:color="000000"/>
            </w:tcBorders>
          </w:tcPr>
          <w:p w14:paraId="11F69B16" w14:textId="2191BD6D"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247</w:t>
            </w:r>
          </w:p>
        </w:tc>
      </w:tr>
      <w:tr w:rsidR="00C77982" w:rsidRPr="00F97CB0" w14:paraId="662A31FF" w14:textId="77777777" w:rsidTr="00C77982">
        <w:trPr>
          <w:trHeight w:val="290"/>
        </w:trPr>
        <w:tc>
          <w:tcPr>
            <w:tcW w:w="5814" w:type="dxa"/>
            <w:tcBorders>
              <w:top w:val="single" w:sz="4" w:space="0" w:color="000000"/>
              <w:left w:val="single" w:sz="4" w:space="0" w:color="000000"/>
              <w:bottom w:val="single" w:sz="4" w:space="0" w:color="000000"/>
              <w:right w:val="single" w:sz="4" w:space="0" w:color="000000"/>
            </w:tcBorders>
          </w:tcPr>
          <w:p w14:paraId="23329C99" w14:textId="51DE7355"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color w:val="000000"/>
                <w:sz w:val="24"/>
              </w:rPr>
              <w:t>Advances paid for supplies and services</w:t>
            </w:r>
          </w:p>
        </w:tc>
        <w:tc>
          <w:tcPr>
            <w:tcW w:w="1532" w:type="dxa"/>
            <w:tcBorders>
              <w:top w:val="single" w:sz="4" w:space="0" w:color="000000"/>
              <w:left w:val="single" w:sz="4" w:space="0" w:color="000000"/>
              <w:bottom w:val="single" w:sz="4" w:space="0" w:color="000000"/>
              <w:right w:val="single" w:sz="4" w:space="0" w:color="000000"/>
            </w:tcBorders>
          </w:tcPr>
          <w:p w14:paraId="67AE6E66" w14:textId="1B62A2DA"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3,055</w:t>
            </w:r>
          </w:p>
        </w:tc>
        <w:tc>
          <w:tcPr>
            <w:tcW w:w="1586" w:type="dxa"/>
            <w:tcBorders>
              <w:top w:val="single" w:sz="4" w:space="0" w:color="000000"/>
              <w:left w:val="single" w:sz="4" w:space="0" w:color="000000"/>
              <w:bottom w:val="single" w:sz="4" w:space="0" w:color="000000"/>
              <w:right w:val="single" w:sz="4" w:space="0" w:color="000000"/>
            </w:tcBorders>
          </w:tcPr>
          <w:p w14:paraId="29CE3093" w14:textId="6F1CCA6C"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12,374</w:t>
            </w:r>
          </w:p>
        </w:tc>
      </w:tr>
      <w:tr w:rsidR="00C77982" w:rsidRPr="00F97CB0" w14:paraId="5A51C384" w14:textId="77777777" w:rsidTr="00C77982">
        <w:trPr>
          <w:trHeight w:val="293"/>
        </w:trPr>
        <w:tc>
          <w:tcPr>
            <w:tcW w:w="5814" w:type="dxa"/>
            <w:tcBorders>
              <w:top w:val="single" w:sz="4" w:space="0" w:color="000000"/>
              <w:left w:val="single" w:sz="4" w:space="0" w:color="000000"/>
              <w:bottom w:val="single" w:sz="4" w:space="0" w:color="000000"/>
              <w:right w:val="single" w:sz="4" w:space="0" w:color="000000"/>
            </w:tcBorders>
          </w:tcPr>
          <w:p w14:paraId="7BCCDF1F" w14:textId="5DFB649C" w:rsidR="00C77982" w:rsidRPr="00F97CB0" w:rsidRDefault="00C77982" w:rsidP="00C77982">
            <w:pPr>
              <w:ind w:left="70"/>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32" w:type="dxa"/>
            <w:tcBorders>
              <w:top w:val="single" w:sz="4" w:space="0" w:color="000000"/>
              <w:left w:val="single" w:sz="4" w:space="0" w:color="000000"/>
              <w:bottom w:val="single" w:sz="4" w:space="0" w:color="000000"/>
              <w:right w:val="single" w:sz="4" w:space="0" w:color="000000"/>
            </w:tcBorders>
          </w:tcPr>
          <w:p w14:paraId="7D98A025" w14:textId="320E3FDE" w:rsidR="00C77982" w:rsidRPr="00F97CB0" w:rsidRDefault="00C77982" w:rsidP="00C77982">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4261</w:t>
            </w:r>
          </w:p>
        </w:tc>
        <w:tc>
          <w:tcPr>
            <w:tcW w:w="1586" w:type="dxa"/>
            <w:tcBorders>
              <w:top w:val="single" w:sz="4" w:space="0" w:color="000000"/>
              <w:left w:val="single" w:sz="4" w:space="0" w:color="000000"/>
              <w:bottom w:val="single" w:sz="4" w:space="0" w:color="000000"/>
              <w:right w:val="single" w:sz="4" w:space="0" w:color="000000"/>
            </w:tcBorders>
          </w:tcPr>
          <w:p w14:paraId="63449D41" w14:textId="3E8E8A8B" w:rsidR="00C77982" w:rsidRPr="00F97CB0" w:rsidRDefault="00C77982" w:rsidP="00C77982">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13,322</w:t>
            </w:r>
          </w:p>
        </w:tc>
      </w:tr>
    </w:tbl>
    <w:p w14:paraId="0DC6974B" w14:textId="77777777" w:rsidR="00C77982" w:rsidRPr="00F97CB0" w:rsidRDefault="00C77982" w:rsidP="00C77982">
      <w:pPr>
        <w:keepNext/>
        <w:keepLines/>
        <w:spacing w:before="40" w:after="0"/>
        <w:ind w:left="-5" w:right="47"/>
        <w:outlineLvl w:val="1"/>
        <w:rPr>
          <w:rFonts w:ascii="Times New Roman" w:eastAsia="Times New Roman" w:hAnsi="Times New Roman" w:cs="Times New Roman"/>
          <w:color w:val="000000"/>
          <w:sz w:val="24"/>
          <w:szCs w:val="26"/>
        </w:rPr>
      </w:pPr>
    </w:p>
    <w:p w14:paraId="6C5C952F" w14:textId="7D65D354"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12 – Materials, spare parts – in thousands of dinars</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F97CB0" w14:paraId="4C531B92"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6D4138D" w14:textId="46693FBE"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00FEDC39" w14:textId="29B63732"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44157B31"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2B5597F8" w14:textId="4EBF2A2C"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Heating oil</w:t>
            </w:r>
          </w:p>
        </w:tc>
        <w:tc>
          <w:tcPr>
            <w:tcW w:w="1560" w:type="dxa"/>
            <w:tcBorders>
              <w:top w:val="single" w:sz="4" w:space="0" w:color="000000"/>
              <w:left w:val="single" w:sz="4" w:space="0" w:color="000000"/>
              <w:bottom w:val="single" w:sz="4" w:space="0" w:color="000000"/>
              <w:right w:val="single" w:sz="4" w:space="0" w:color="000000"/>
            </w:tcBorders>
          </w:tcPr>
          <w:p w14:paraId="0DB3C190" w14:textId="68EAA7B7"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128</w:t>
            </w:r>
          </w:p>
        </w:tc>
      </w:tr>
      <w:tr w:rsidR="00D60E26" w:rsidRPr="00F97CB0" w14:paraId="45F5B02C"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723E464" w14:textId="16C1C522"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Fuel and oil</w:t>
            </w:r>
          </w:p>
        </w:tc>
        <w:tc>
          <w:tcPr>
            <w:tcW w:w="1560" w:type="dxa"/>
            <w:tcBorders>
              <w:top w:val="single" w:sz="4" w:space="0" w:color="000000"/>
              <w:left w:val="single" w:sz="4" w:space="0" w:color="000000"/>
              <w:bottom w:val="single" w:sz="4" w:space="0" w:color="000000"/>
              <w:right w:val="single" w:sz="4" w:space="0" w:color="000000"/>
            </w:tcBorders>
          </w:tcPr>
          <w:p w14:paraId="06FD7ECA" w14:textId="0D31021B"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831</w:t>
            </w:r>
          </w:p>
        </w:tc>
      </w:tr>
      <w:tr w:rsidR="00D60E26" w:rsidRPr="00F97CB0" w14:paraId="49FC6E3B"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7D7468F0" w14:textId="22B47974"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Car tires in use</w:t>
            </w:r>
          </w:p>
        </w:tc>
        <w:tc>
          <w:tcPr>
            <w:tcW w:w="1560" w:type="dxa"/>
            <w:tcBorders>
              <w:top w:val="single" w:sz="4" w:space="0" w:color="000000"/>
              <w:left w:val="single" w:sz="4" w:space="0" w:color="000000"/>
              <w:bottom w:val="single" w:sz="4" w:space="0" w:color="000000"/>
              <w:right w:val="single" w:sz="4" w:space="0" w:color="000000"/>
            </w:tcBorders>
          </w:tcPr>
          <w:p w14:paraId="75EAC109" w14:textId="2C2A8B7E"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3,668</w:t>
            </w:r>
          </w:p>
        </w:tc>
      </w:tr>
      <w:tr w:rsidR="00D60E26" w:rsidRPr="00F97CB0" w14:paraId="59E1078C"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741D9FED" w14:textId="00A4114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Small inventory items in use</w:t>
            </w:r>
          </w:p>
        </w:tc>
        <w:tc>
          <w:tcPr>
            <w:tcW w:w="1560" w:type="dxa"/>
            <w:tcBorders>
              <w:top w:val="single" w:sz="4" w:space="0" w:color="000000"/>
              <w:left w:val="single" w:sz="4" w:space="0" w:color="000000"/>
              <w:bottom w:val="single" w:sz="4" w:space="0" w:color="000000"/>
              <w:right w:val="single" w:sz="4" w:space="0" w:color="000000"/>
            </w:tcBorders>
          </w:tcPr>
          <w:p w14:paraId="2F8D46C7" w14:textId="773637C3"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16,164</w:t>
            </w:r>
          </w:p>
        </w:tc>
      </w:tr>
      <w:tr w:rsidR="00D60E26" w:rsidRPr="00F97CB0" w14:paraId="64159BFA"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8EB7C19" w14:textId="3137F590"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Allowance for car tires in use</w:t>
            </w:r>
          </w:p>
        </w:tc>
        <w:tc>
          <w:tcPr>
            <w:tcW w:w="1560" w:type="dxa"/>
            <w:tcBorders>
              <w:top w:val="single" w:sz="4" w:space="0" w:color="000000"/>
              <w:left w:val="single" w:sz="4" w:space="0" w:color="000000"/>
              <w:bottom w:val="single" w:sz="4" w:space="0" w:color="000000"/>
              <w:right w:val="single" w:sz="4" w:space="0" w:color="000000"/>
            </w:tcBorders>
          </w:tcPr>
          <w:p w14:paraId="6D0496AF" w14:textId="76062F9E"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(3,668)</w:t>
            </w:r>
          </w:p>
        </w:tc>
      </w:tr>
      <w:tr w:rsidR="00D60E26" w:rsidRPr="00F97CB0" w14:paraId="479A0F43"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C0DAEF2" w14:textId="4AD4593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Allowance for small inventory items in use</w:t>
            </w:r>
          </w:p>
        </w:tc>
        <w:tc>
          <w:tcPr>
            <w:tcW w:w="1560" w:type="dxa"/>
            <w:tcBorders>
              <w:top w:val="single" w:sz="4" w:space="0" w:color="000000"/>
              <w:left w:val="single" w:sz="4" w:space="0" w:color="000000"/>
              <w:bottom w:val="single" w:sz="4" w:space="0" w:color="000000"/>
              <w:right w:val="single" w:sz="4" w:space="0" w:color="000000"/>
            </w:tcBorders>
          </w:tcPr>
          <w:p w14:paraId="23FD4DB0" w14:textId="665DC34C"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(16,164)</w:t>
            </w:r>
          </w:p>
        </w:tc>
      </w:tr>
      <w:tr w:rsidR="00D60E26" w:rsidRPr="00F97CB0" w14:paraId="46943173" w14:textId="77777777" w:rsidTr="00882CF8">
        <w:trPr>
          <w:trHeight w:val="291"/>
        </w:trPr>
        <w:tc>
          <w:tcPr>
            <w:tcW w:w="7372" w:type="dxa"/>
            <w:tcBorders>
              <w:top w:val="single" w:sz="4" w:space="0" w:color="000000"/>
              <w:left w:val="single" w:sz="4" w:space="0" w:color="000000"/>
              <w:bottom w:val="single" w:sz="4" w:space="0" w:color="000000"/>
              <w:right w:val="single" w:sz="4" w:space="0" w:color="000000"/>
            </w:tcBorders>
          </w:tcPr>
          <w:p w14:paraId="7C484B43" w14:textId="4F6ECE3C"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7C7C45F1" w14:textId="361A210A"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959</w:t>
            </w:r>
          </w:p>
        </w:tc>
      </w:tr>
    </w:tbl>
    <w:p w14:paraId="3A0F7EDA" w14:textId="77777777" w:rsidR="00722812" w:rsidRPr="00F97CB0" w:rsidRDefault="00D60E26" w:rsidP="005A0FC0">
      <w:pPr>
        <w:spacing w:after="18"/>
        <w:jc w:val="both"/>
        <w:rPr>
          <w:rFonts w:ascii="Times New Roman" w:eastAsia="Times New Roman" w:hAnsi="Times New Roman" w:cs="Times New Roman"/>
          <w:b/>
          <w:color w:val="000000"/>
          <w:sz w:val="24"/>
        </w:rPr>
      </w:pPr>
      <w:r w:rsidRPr="00F97CB0">
        <w:rPr>
          <w:rFonts w:ascii="Times New Roman" w:hAnsi="Times New Roman"/>
          <w:b/>
          <w:color w:val="000000"/>
          <w:sz w:val="24"/>
        </w:rPr>
        <w:t xml:space="preserve"> </w:t>
      </w:r>
    </w:p>
    <w:p w14:paraId="4F9A8358" w14:textId="3D2CD2EC" w:rsidR="00D60E26" w:rsidRPr="00F97CB0" w:rsidRDefault="00D60E26" w:rsidP="00722812">
      <w:pPr>
        <w:spacing w:after="18"/>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The Company uses heating oil, fuel and oil for heating purposes.</w:t>
      </w:r>
    </w:p>
    <w:p w14:paraId="75AD9E8F" w14:textId="77777777" w:rsidR="00D60E26" w:rsidRPr="00F97CB0" w:rsidRDefault="00D60E26" w:rsidP="00610346">
      <w:pPr>
        <w:spacing w:after="23"/>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20A8BAC1" w14:textId="7BA476C8"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The company writes off tires and small inventory items as a whole at the moment of putting them into use in accordance with Article 19 of the Rulebook on Accounting and Accounting Policies.</w:t>
      </w:r>
    </w:p>
    <w:p w14:paraId="041139AF" w14:textId="2A5AF995" w:rsidR="00D60E26" w:rsidRPr="00F97CB0" w:rsidRDefault="00D60E26" w:rsidP="00610346">
      <w:pPr>
        <w:spacing w:after="31"/>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428E6093" w14:textId="77777777" w:rsidR="00722812" w:rsidRPr="00F97CB0" w:rsidRDefault="00722812" w:rsidP="00641CA1">
      <w:pPr>
        <w:rPr>
          <w:rFonts w:ascii="Times New Roman" w:hAnsi="Times New Roman" w:cs="Times New Roman"/>
          <w:b/>
          <w:sz w:val="24"/>
          <w:szCs w:val="24"/>
        </w:rPr>
      </w:pPr>
    </w:p>
    <w:p w14:paraId="2E9A21D8" w14:textId="6F6DC8B2" w:rsidR="00D60E26" w:rsidRPr="00F97CB0" w:rsidRDefault="00D60E26" w:rsidP="00641CA1">
      <w:pPr>
        <w:rPr>
          <w:rFonts w:ascii="Times New Roman" w:hAnsi="Times New Roman" w:cs="Times New Roman"/>
          <w:b/>
          <w:sz w:val="24"/>
          <w:szCs w:val="24"/>
        </w:rPr>
      </w:pPr>
      <w:r w:rsidRPr="00F97CB0">
        <w:rPr>
          <w:rFonts w:ascii="Times New Roman" w:hAnsi="Times New Roman"/>
          <w:b/>
          <w:sz w:val="24"/>
        </w:rPr>
        <w:t>Advances paid for stocks and services</w:t>
      </w:r>
    </w:p>
    <w:p w14:paraId="2EB8C615" w14:textId="61B9402F" w:rsidR="00D60E26" w:rsidRPr="00F97CB0" w:rsidRDefault="00D60E26" w:rsidP="001F17BD">
      <w:pPr>
        <w:spacing w:after="23"/>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In the books of the Company, as of 31 December 2015, advances paid for stocks and services are reported in the amount of 3,055 thousand dinars, and they relate to:</w:t>
      </w:r>
    </w:p>
    <w:p w14:paraId="0193E72E" w14:textId="77777777" w:rsidR="00D60E26" w:rsidRPr="00F97CB0" w:rsidRDefault="00D60E26" w:rsidP="00610346">
      <w:pPr>
        <w:spacing w:after="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22187122" w14:textId="1AE03E17"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13 – Advances paid – in thousands of dinars</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F97CB0" w14:paraId="6E9706D1"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1EB8D948" w14:textId="27BACB3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lastRenderedPageBreak/>
              <w:t>Name</w:t>
            </w:r>
          </w:p>
        </w:tc>
        <w:tc>
          <w:tcPr>
            <w:tcW w:w="1560" w:type="dxa"/>
            <w:tcBorders>
              <w:top w:val="single" w:sz="4" w:space="0" w:color="000000"/>
              <w:left w:val="single" w:sz="4" w:space="0" w:color="000000"/>
              <w:bottom w:val="single" w:sz="4" w:space="0" w:color="000000"/>
              <w:right w:val="single" w:sz="4" w:space="0" w:color="000000"/>
            </w:tcBorders>
          </w:tcPr>
          <w:p w14:paraId="3474596A" w14:textId="44B332F2"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6DA885C8"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2ED772D" w14:textId="441345D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for advances paid in the country</w:t>
            </w:r>
          </w:p>
        </w:tc>
        <w:tc>
          <w:tcPr>
            <w:tcW w:w="1560" w:type="dxa"/>
            <w:tcBorders>
              <w:top w:val="single" w:sz="4" w:space="0" w:color="000000"/>
              <w:left w:val="single" w:sz="4" w:space="0" w:color="000000"/>
              <w:bottom w:val="single" w:sz="4" w:space="0" w:color="000000"/>
              <w:right w:val="single" w:sz="4" w:space="0" w:color="000000"/>
            </w:tcBorders>
          </w:tcPr>
          <w:p w14:paraId="5B01C327" w14:textId="1A82F726"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2,820</w:t>
            </w:r>
          </w:p>
        </w:tc>
      </w:tr>
      <w:tr w:rsidR="00D60E26" w:rsidRPr="00F97CB0" w14:paraId="1C58DFDE"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752148F5" w14:textId="326C084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for advances paid abroad</w:t>
            </w:r>
          </w:p>
        </w:tc>
        <w:tc>
          <w:tcPr>
            <w:tcW w:w="1560" w:type="dxa"/>
            <w:tcBorders>
              <w:top w:val="single" w:sz="4" w:space="0" w:color="000000"/>
              <w:left w:val="single" w:sz="4" w:space="0" w:color="000000"/>
              <w:bottom w:val="single" w:sz="4" w:space="0" w:color="000000"/>
              <w:right w:val="single" w:sz="4" w:space="0" w:color="000000"/>
            </w:tcBorders>
          </w:tcPr>
          <w:p w14:paraId="18F8D039" w14:textId="2D502082"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379</w:t>
            </w:r>
          </w:p>
        </w:tc>
      </w:tr>
      <w:tr w:rsidR="00D60E26" w:rsidRPr="00F97CB0" w14:paraId="7414EA5E"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1891143A" w14:textId="758743B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Allowance for advances paid</w:t>
            </w:r>
          </w:p>
        </w:tc>
        <w:tc>
          <w:tcPr>
            <w:tcW w:w="1560" w:type="dxa"/>
            <w:tcBorders>
              <w:top w:val="single" w:sz="4" w:space="0" w:color="000000"/>
              <w:left w:val="single" w:sz="4" w:space="0" w:color="000000"/>
              <w:bottom w:val="single" w:sz="4" w:space="0" w:color="000000"/>
              <w:right w:val="single" w:sz="4" w:space="0" w:color="000000"/>
            </w:tcBorders>
          </w:tcPr>
          <w:p w14:paraId="10C1C0FA" w14:textId="75FBDB70" w:rsidR="00D60E26" w:rsidRPr="00F97CB0" w:rsidRDefault="00D60E26"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(144)</w:t>
            </w:r>
          </w:p>
        </w:tc>
      </w:tr>
      <w:tr w:rsidR="00D60E26" w:rsidRPr="00F97CB0" w14:paraId="21945F29"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61701726" w14:textId="613DCA3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24350883" w14:textId="5A1E4B13"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3,055</w:t>
            </w:r>
          </w:p>
        </w:tc>
      </w:tr>
    </w:tbl>
    <w:p w14:paraId="50BFE42C" w14:textId="5D961AF7" w:rsidR="00D60E26" w:rsidRPr="00F97CB0" w:rsidRDefault="00263DAC" w:rsidP="00610346">
      <w:pPr>
        <w:spacing w:after="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6CA1552E" w14:textId="57330D9D"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for advances paid in the country are shown in the following table:</w:t>
      </w:r>
    </w:p>
    <w:p w14:paraId="044DC6D1" w14:textId="77777777" w:rsidR="00D60E26" w:rsidRPr="00F97CB0" w:rsidRDefault="00D60E26" w:rsidP="00610346">
      <w:pPr>
        <w:spacing w:after="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36D0F234" w14:textId="5C9E2796"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14 – Advances paid in the country – in thousands of dinars</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F97CB0" w14:paraId="638A715E"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08E88A2A" w14:textId="3A618062"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5C09157E" w14:textId="26812D4A"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23357AD6"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512C00E2" w14:textId="42CA8319"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Coral computers d.o.o, Belgrade</w:t>
            </w:r>
          </w:p>
        </w:tc>
        <w:tc>
          <w:tcPr>
            <w:tcW w:w="1560" w:type="dxa"/>
            <w:tcBorders>
              <w:top w:val="single" w:sz="4" w:space="0" w:color="000000"/>
              <w:left w:val="single" w:sz="4" w:space="0" w:color="000000"/>
              <w:bottom w:val="single" w:sz="4" w:space="0" w:color="000000"/>
              <w:right w:val="single" w:sz="4" w:space="0" w:color="000000"/>
            </w:tcBorders>
          </w:tcPr>
          <w:p w14:paraId="202AC0DC" w14:textId="6E143D41"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267</w:t>
            </w:r>
          </w:p>
        </w:tc>
      </w:tr>
      <w:tr w:rsidR="00D60E26" w:rsidRPr="00F97CB0" w14:paraId="369A8E5D"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55B61F16" w14:textId="29AEE9FF"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SZTR Vinska kuća Minića, Aleksandrovac</w:t>
            </w:r>
          </w:p>
        </w:tc>
        <w:tc>
          <w:tcPr>
            <w:tcW w:w="1560" w:type="dxa"/>
            <w:tcBorders>
              <w:top w:val="single" w:sz="4" w:space="0" w:color="000000"/>
              <w:left w:val="single" w:sz="4" w:space="0" w:color="000000"/>
              <w:bottom w:val="single" w:sz="4" w:space="0" w:color="000000"/>
              <w:right w:val="single" w:sz="4" w:space="0" w:color="000000"/>
            </w:tcBorders>
          </w:tcPr>
          <w:p w14:paraId="46D36370" w14:textId="197EEB64"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180</w:t>
            </w:r>
          </w:p>
        </w:tc>
      </w:tr>
      <w:tr w:rsidR="00D60E26" w:rsidRPr="00F97CB0" w14:paraId="21FE0507"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625454FC" w14:textId="26BC87B5"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Kosinox limited liability company, Belgrade</w:t>
            </w:r>
          </w:p>
        </w:tc>
        <w:tc>
          <w:tcPr>
            <w:tcW w:w="1560" w:type="dxa"/>
            <w:tcBorders>
              <w:top w:val="single" w:sz="4" w:space="0" w:color="000000"/>
              <w:left w:val="single" w:sz="4" w:space="0" w:color="000000"/>
              <w:bottom w:val="single" w:sz="4" w:space="0" w:color="000000"/>
              <w:right w:val="single" w:sz="4" w:space="0" w:color="000000"/>
            </w:tcBorders>
          </w:tcPr>
          <w:p w14:paraId="584D2129" w14:textId="351909B6"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487</w:t>
            </w:r>
          </w:p>
        </w:tc>
      </w:tr>
      <w:tr w:rsidR="00D60E26" w:rsidRPr="00F97CB0" w14:paraId="51B8DF6A"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9139CEF" w14:textId="38A3DA96"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Radunić d.o.o., Belgrade</w:t>
            </w:r>
          </w:p>
        </w:tc>
        <w:tc>
          <w:tcPr>
            <w:tcW w:w="1560" w:type="dxa"/>
            <w:tcBorders>
              <w:top w:val="single" w:sz="4" w:space="0" w:color="000000"/>
              <w:left w:val="single" w:sz="4" w:space="0" w:color="000000"/>
              <w:bottom w:val="single" w:sz="4" w:space="0" w:color="000000"/>
              <w:right w:val="single" w:sz="4" w:space="0" w:color="000000"/>
            </w:tcBorders>
          </w:tcPr>
          <w:p w14:paraId="707849EC" w14:textId="1C964F4E"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717</w:t>
            </w:r>
          </w:p>
        </w:tc>
      </w:tr>
      <w:tr w:rsidR="00D60E26" w:rsidRPr="00F97CB0" w14:paraId="10E270C3"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C5FC8F0" w14:textId="46D78442"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Publikum d.o.o., Belgrade</w:t>
            </w:r>
          </w:p>
        </w:tc>
        <w:tc>
          <w:tcPr>
            <w:tcW w:w="1560" w:type="dxa"/>
            <w:tcBorders>
              <w:top w:val="single" w:sz="4" w:space="0" w:color="000000"/>
              <w:left w:val="single" w:sz="4" w:space="0" w:color="000000"/>
              <w:bottom w:val="single" w:sz="4" w:space="0" w:color="000000"/>
              <w:right w:val="single" w:sz="4" w:space="0" w:color="000000"/>
            </w:tcBorders>
          </w:tcPr>
          <w:p w14:paraId="41AC7A73" w14:textId="4D6D220D"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100</w:t>
            </w:r>
          </w:p>
        </w:tc>
      </w:tr>
      <w:tr w:rsidR="00D60E26" w:rsidRPr="00F97CB0" w14:paraId="6D24EA6C"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5A0C9A4B" w14:textId="1E1E8F66"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Green fashion d.o.o, Belgrade</w:t>
            </w:r>
          </w:p>
        </w:tc>
        <w:tc>
          <w:tcPr>
            <w:tcW w:w="1560" w:type="dxa"/>
            <w:tcBorders>
              <w:top w:val="single" w:sz="4" w:space="0" w:color="000000"/>
              <w:left w:val="single" w:sz="4" w:space="0" w:color="000000"/>
              <w:bottom w:val="single" w:sz="4" w:space="0" w:color="000000"/>
              <w:right w:val="single" w:sz="4" w:space="0" w:color="000000"/>
            </w:tcBorders>
          </w:tcPr>
          <w:p w14:paraId="30880497" w14:textId="6EC027D5"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117</w:t>
            </w:r>
          </w:p>
        </w:tc>
      </w:tr>
      <w:tr w:rsidR="00D60E26" w:rsidRPr="00F97CB0" w14:paraId="2B1BF964"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C421BB5" w14:textId="408863B9"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Mrlješ d.o.o., Krnješevci</w:t>
            </w:r>
          </w:p>
        </w:tc>
        <w:tc>
          <w:tcPr>
            <w:tcW w:w="1560" w:type="dxa"/>
            <w:tcBorders>
              <w:top w:val="single" w:sz="4" w:space="0" w:color="000000"/>
              <w:left w:val="single" w:sz="4" w:space="0" w:color="000000"/>
              <w:bottom w:val="single" w:sz="4" w:space="0" w:color="000000"/>
              <w:right w:val="single" w:sz="4" w:space="0" w:color="000000"/>
            </w:tcBorders>
          </w:tcPr>
          <w:p w14:paraId="4F2DCCF0" w14:textId="5CC511C9"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151</w:t>
            </w:r>
          </w:p>
        </w:tc>
      </w:tr>
      <w:tr w:rsidR="00D60E26" w:rsidRPr="00F97CB0" w14:paraId="4FDB0658"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6B3B41E0" w14:textId="4B667D88"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Other advances paid</w:t>
            </w:r>
          </w:p>
        </w:tc>
        <w:tc>
          <w:tcPr>
            <w:tcW w:w="1560" w:type="dxa"/>
            <w:tcBorders>
              <w:top w:val="single" w:sz="4" w:space="0" w:color="000000"/>
              <w:left w:val="single" w:sz="4" w:space="0" w:color="000000"/>
              <w:bottom w:val="single" w:sz="4" w:space="0" w:color="000000"/>
              <w:right w:val="single" w:sz="4" w:space="0" w:color="000000"/>
            </w:tcBorders>
          </w:tcPr>
          <w:p w14:paraId="5B5B1254" w14:textId="0F482C28"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801</w:t>
            </w:r>
          </w:p>
        </w:tc>
      </w:tr>
      <w:tr w:rsidR="00D60E26" w:rsidRPr="00F97CB0" w14:paraId="25BE57D2"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08F320A" w14:textId="35EAB5A1"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307F7BD5" w14:textId="5ED2AFBB"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2,820</w:t>
            </w:r>
          </w:p>
        </w:tc>
      </w:tr>
    </w:tbl>
    <w:p w14:paraId="123BEB09" w14:textId="0846B88F" w:rsidR="00D60E26" w:rsidRPr="00F97CB0" w:rsidRDefault="00D60E26" w:rsidP="00610346">
      <w:pPr>
        <w:spacing w:after="23"/>
        <w:jc w:val="both"/>
        <w:rPr>
          <w:rFonts w:ascii="Times New Roman" w:eastAsia="Times New Roman" w:hAnsi="Times New Roman" w:cs="Times New Roman"/>
          <w:color w:val="000000"/>
          <w:sz w:val="24"/>
        </w:rPr>
      </w:pPr>
    </w:p>
    <w:p w14:paraId="1FB46049" w14:textId="1C22FBFA"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for advances paid abroad are shown in the following table:</w:t>
      </w:r>
    </w:p>
    <w:p w14:paraId="65DE83D8" w14:textId="77777777" w:rsidR="00D60E26" w:rsidRPr="00F97CB0" w:rsidRDefault="00D60E26" w:rsidP="00610346">
      <w:pPr>
        <w:spacing w:after="90"/>
        <w:jc w:val="both"/>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2474DF92" w14:textId="052957E0"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15 – Advances paid abroad – in thousands of dinars</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F97CB0" w14:paraId="2C37FC25"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2B19F4F" w14:textId="7777777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Name </w:t>
            </w:r>
          </w:p>
        </w:tc>
        <w:tc>
          <w:tcPr>
            <w:tcW w:w="1560" w:type="dxa"/>
            <w:tcBorders>
              <w:top w:val="single" w:sz="4" w:space="0" w:color="000000"/>
              <w:left w:val="single" w:sz="4" w:space="0" w:color="000000"/>
              <w:bottom w:val="single" w:sz="4" w:space="0" w:color="000000"/>
              <w:right w:val="single" w:sz="4" w:space="0" w:color="000000"/>
            </w:tcBorders>
          </w:tcPr>
          <w:p w14:paraId="6339672C" w14:textId="742ABC28"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204D588E"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7AD0E643" w14:textId="175C3DCF"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Sultan Quaboos University, Oman</w:t>
            </w:r>
          </w:p>
        </w:tc>
        <w:tc>
          <w:tcPr>
            <w:tcW w:w="1560" w:type="dxa"/>
            <w:tcBorders>
              <w:top w:val="single" w:sz="4" w:space="0" w:color="000000"/>
              <w:left w:val="single" w:sz="4" w:space="0" w:color="000000"/>
              <w:bottom w:val="single" w:sz="4" w:space="0" w:color="000000"/>
              <w:right w:val="single" w:sz="4" w:space="0" w:color="000000"/>
            </w:tcBorders>
          </w:tcPr>
          <w:p w14:paraId="3B1E9BD7" w14:textId="1E1CECBE"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370</w:t>
            </w:r>
          </w:p>
        </w:tc>
      </w:tr>
      <w:tr w:rsidR="00D60E26" w:rsidRPr="00F97CB0" w14:paraId="3980199E"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524B0412" w14:textId="559431F4"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Abem Instrument AB, Sweden</w:t>
            </w:r>
          </w:p>
        </w:tc>
        <w:tc>
          <w:tcPr>
            <w:tcW w:w="1560" w:type="dxa"/>
            <w:tcBorders>
              <w:top w:val="single" w:sz="4" w:space="0" w:color="000000"/>
              <w:left w:val="single" w:sz="4" w:space="0" w:color="000000"/>
              <w:bottom w:val="single" w:sz="4" w:space="0" w:color="000000"/>
              <w:right w:val="single" w:sz="4" w:space="0" w:color="000000"/>
            </w:tcBorders>
          </w:tcPr>
          <w:p w14:paraId="22E80121" w14:textId="56B2E99F"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9</w:t>
            </w:r>
          </w:p>
        </w:tc>
      </w:tr>
      <w:tr w:rsidR="00D60E26" w:rsidRPr="00F97CB0" w14:paraId="0ECC0E96"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26398F2" w14:textId="314D4B4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41EF2786" w14:textId="28B9663C"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379</w:t>
            </w:r>
          </w:p>
        </w:tc>
      </w:tr>
    </w:tbl>
    <w:p w14:paraId="45583EDF" w14:textId="7D4D1936" w:rsidR="00D60E26" w:rsidRPr="00F97CB0" w:rsidRDefault="00D60E26" w:rsidP="00610346">
      <w:pPr>
        <w:spacing w:after="23"/>
        <w:jc w:val="both"/>
        <w:rPr>
          <w:rFonts w:ascii="Times New Roman" w:eastAsia="Times New Roman" w:hAnsi="Times New Roman" w:cs="Times New Roman"/>
          <w:color w:val="000000"/>
          <w:sz w:val="24"/>
        </w:rPr>
      </w:pPr>
    </w:p>
    <w:p w14:paraId="6570DB8F" w14:textId="11CD1E96"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An overview of the allowance for advances paid is shown in the following table:</w:t>
      </w:r>
    </w:p>
    <w:p w14:paraId="35A3E207" w14:textId="77777777" w:rsidR="00D60E26" w:rsidRPr="00F97CB0" w:rsidRDefault="00D60E26" w:rsidP="00610346">
      <w:pPr>
        <w:spacing w:after="101"/>
        <w:jc w:val="both"/>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6B2301A7" w14:textId="74586D19"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16 – An overview of the allowance – in thousands of dinars</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F97CB0" w14:paraId="670300D4" w14:textId="77777777" w:rsidTr="00882CF8">
        <w:trPr>
          <w:trHeight w:val="291"/>
        </w:trPr>
        <w:tc>
          <w:tcPr>
            <w:tcW w:w="7372" w:type="dxa"/>
            <w:tcBorders>
              <w:top w:val="single" w:sz="4" w:space="0" w:color="000000"/>
              <w:left w:val="single" w:sz="4" w:space="0" w:color="000000"/>
              <w:bottom w:val="single" w:sz="4" w:space="0" w:color="000000"/>
              <w:right w:val="single" w:sz="4" w:space="0" w:color="000000"/>
            </w:tcBorders>
          </w:tcPr>
          <w:p w14:paraId="39035F13" w14:textId="7F5E5758"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51633C09" w14:textId="1385195D"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10794BD0"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7943C3DE" w14:textId="745B9132"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Mrlješ d.o.o., Krnješevci</w:t>
            </w:r>
          </w:p>
        </w:tc>
        <w:tc>
          <w:tcPr>
            <w:tcW w:w="1560" w:type="dxa"/>
            <w:tcBorders>
              <w:top w:val="single" w:sz="4" w:space="0" w:color="000000"/>
              <w:left w:val="single" w:sz="4" w:space="0" w:color="000000"/>
              <w:bottom w:val="single" w:sz="4" w:space="0" w:color="000000"/>
              <w:right w:val="single" w:sz="4" w:space="0" w:color="000000"/>
            </w:tcBorders>
          </w:tcPr>
          <w:p w14:paraId="37BE0958" w14:textId="17F4A77F"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151</w:t>
            </w:r>
          </w:p>
        </w:tc>
      </w:tr>
      <w:tr w:rsidR="00D60E26" w:rsidRPr="00F97CB0" w14:paraId="12CDF589"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185E320C" w14:textId="3E6BB11E"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Portland Customer Service, London, Great Britain</w:t>
            </w:r>
          </w:p>
        </w:tc>
        <w:tc>
          <w:tcPr>
            <w:tcW w:w="1560" w:type="dxa"/>
            <w:tcBorders>
              <w:top w:val="single" w:sz="4" w:space="0" w:color="000000"/>
              <w:left w:val="single" w:sz="4" w:space="0" w:color="000000"/>
              <w:bottom w:val="single" w:sz="4" w:space="0" w:color="000000"/>
              <w:right w:val="single" w:sz="4" w:space="0" w:color="000000"/>
            </w:tcBorders>
          </w:tcPr>
          <w:p w14:paraId="70B2B4C6" w14:textId="1FCA7992" w:rsidR="00D60E26" w:rsidRPr="00F97CB0" w:rsidRDefault="00D60E26"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(7)</w:t>
            </w:r>
          </w:p>
        </w:tc>
      </w:tr>
      <w:tr w:rsidR="00D60E26" w:rsidRPr="00F97CB0" w14:paraId="0200E44A"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25147F0" w14:textId="4476ADC1"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03417A63" w14:textId="35A6A5FD"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144</w:t>
            </w:r>
          </w:p>
        </w:tc>
      </w:tr>
    </w:tbl>
    <w:p w14:paraId="77429775" w14:textId="77777777" w:rsidR="00D60E26" w:rsidRPr="00F97CB0" w:rsidRDefault="00D60E26" w:rsidP="00610346">
      <w:pPr>
        <w:spacing w:after="100"/>
        <w:jc w:val="both"/>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50B95F00" w14:textId="553AAD7B"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An overview of the paid advances older than one year is shown in the following table:</w:t>
      </w:r>
    </w:p>
    <w:p w14:paraId="727E71AB" w14:textId="77777777" w:rsidR="00D60E26" w:rsidRPr="00F97CB0" w:rsidRDefault="00D60E26" w:rsidP="00610346">
      <w:pPr>
        <w:spacing w:after="91"/>
        <w:jc w:val="both"/>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77DB91D2" w14:textId="471E27F7"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17 – Advances older than one year – in thousands of dinars</w:t>
      </w:r>
    </w:p>
    <w:tbl>
      <w:tblPr>
        <w:tblStyle w:val="TableGrid"/>
        <w:tblW w:w="8932" w:type="dxa"/>
        <w:tblInd w:w="0" w:type="dxa"/>
        <w:tblCellMar>
          <w:top w:w="9" w:type="dxa"/>
          <w:left w:w="70" w:type="dxa"/>
          <w:right w:w="12" w:type="dxa"/>
        </w:tblCellMar>
        <w:tblLook w:val="04A0" w:firstRow="1" w:lastRow="0" w:firstColumn="1" w:lastColumn="0" w:noHBand="0" w:noVBand="1"/>
      </w:tblPr>
      <w:tblGrid>
        <w:gridCol w:w="7372"/>
        <w:gridCol w:w="1560"/>
      </w:tblGrid>
      <w:tr w:rsidR="00D60E26" w:rsidRPr="00F97CB0" w14:paraId="51E55BAD"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3D762A4A" w14:textId="6AF0183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79411C3D" w14:textId="4ABB6E59"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7DA797D0"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66FADE14" w14:textId="0D35D0B4"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lastRenderedPageBreak/>
              <w:t>Sultan Quaboos University, Oman</w:t>
            </w:r>
          </w:p>
        </w:tc>
        <w:tc>
          <w:tcPr>
            <w:tcW w:w="1560" w:type="dxa"/>
            <w:tcBorders>
              <w:top w:val="single" w:sz="4" w:space="0" w:color="000000"/>
              <w:left w:val="single" w:sz="4" w:space="0" w:color="000000"/>
              <w:bottom w:val="single" w:sz="4" w:space="0" w:color="000000"/>
              <w:right w:val="single" w:sz="4" w:space="0" w:color="000000"/>
            </w:tcBorders>
          </w:tcPr>
          <w:p w14:paraId="41268420" w14:textId="649449E7"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370</w:t>
            </w:r>
          </w:p>
        </w:tc>
      </w:tr>
      <w:tr w:rsidR="00D60E26" w:rsidRPr="00F97CB0" w14:paraId="02DE4E78"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177FEC0" w14:textId="778314D8"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Publikum d.o.o., Belgrade</w:t>
            </w:r>
          </w:p>
        </w:tc>
        <w:tc>
          <w:tcPr>
            <w:tcW w:w="1560" w:type="dxa"/>
            <w:tcBorders>
              <w:top w:val="single" w:sz="4" w:space="0" w:color="000000"/>
              <w:left w:val="single" w:sz="4" w:space="0" w:color="000000"/>
              <w:bottom w:val="single" w:sz="4" w:space="0" w:color="000000"/>
              <w:right w:val="single" w:sz="4" w:space="0" w:color="000000"/>
            </w:tcBorders>
          </w:tcPr>
          <w:p w14:paraId="1374CCB7" w14:textId="27E40BD2"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100</w:t>
            </w:r>
          </w:p>
        </w:tc>
      </w:tr>
      <w:tr w:rsidR="00D60E26" w:rsidRPr="00F97CB0" w14:paraId="18EC4879"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2574F7BC" w14:textId="66ACE9FE"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Krtalić group d.o.o., Belgrade</w:t>
            </w:r>
          </w:p>
        </w:tc>
        <w:tc>
          <w:tcPr>
            <w:tcW w:w="1560" w:type="dxa"/>
            <w:tcBorders>
              <w:top w:val="single" w:sz="4" w:space="0" w:color="000000"/>
              <w:left w:val="single" w:sz="4" w:space="0" w:color="000000"/>
              <w:bottom w:val="single" w:sz="4" w:space="0" w:color="000000"/>
              <w:right w:val="single" w:sz="4" w:space="0" w:color="000000"/>
            </w:tcBorders>
          </w:tcPr>
          <w:p w14:paraId="1350AC3C" w14:textId="72A63627"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69</w:t>
            </w:r>
          </w:p>
        </w:tc>
      </w:tr>
      <w:tr w:rsidR="00D60E26" w:rsidRPr="00F97CB0" w14:paraId="1C108793"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3BA51928" w14:textId="5387D71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Proautor d.o.o., Belgrade</w:t>
            </w:r>
          </w:p>
        </w:tc>
        <w:tc>
          <w:tcPr>
            <w:tcW w:w="1560" w:type="dxa"/>
            <w:tcBorders>
              <w:top w:val="single" w:sz="4" w:space="0" w:color="000000"/>
              <w:left w:val="single" w:sz="4" w:space="0" w:color="000000"/>
              <w:bottom w:val="single" w:sz="4" w:space="0" w:color="000000"/>
              <w:right w:val="single" w:sz="4" w:space="0" w:color="000000"/>
            </w:tcBorders>
          </w:tcPr>
          <w:p w14:paraId="47C2ED25" w14:textId="6D785F37"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68</w:t>
            </w:r>
          </w:p>
        </w:tc>
      </w:tr>
      <w:tr w:rsidR="00D60E26" w:rsidRPr="00F97CB0" w14:paraId="5376CC26"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412DD1CB" w14:textId="3666411E"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Hotel Balkan, Belgrade</w:t>
            </w:r>
          </w:p>
        </w:tc>
        <w:tc>
          <w:tcPr>
            <w:tcW w:w="1560" w:type="dxa"/>
            <w:tcBorders>
              <w:top w:val="single" w:sz="4" w:space="0" w:color="000000"/>
              <w:left w:val="single" w:sz="4" w:space="0" w:color="000000"/>
              <w:bottom w:val="single" w:sz="4" w:space="0" w:color="000000"/>
              <w:right w:val="single" w:sz="4" w:space="0" w:color="000000"/>
            </w:tcBorders>
          </w:tcPr>
          <w:p w14:paraId="15D625DA" w14:textId="49B69011"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54</w:t>
            </w:r>
          </w:p>
        </w:tc>
      </w:tr>
      <w:tr w:rsidR="00D60E26" w:rsidRPr="00F97CB0" w14:paraId="697EF06D" w14:textId="77777777" w:rsidTr="00882CF8">
        <w:trPr>
          <w:trHeight w:val="293"/>
        </w:trPr>
        <w:tc>
          <w:tcPr>
            <w:tcW w:w="7372" w:type="dxa"/>
            <w:tcBorders>
              <w:top w:val="single" w:sz="4" w:space="0" w:color="000000"/>
              <w:left w:val="single" w:sz="4" w:space="0" w:color="000000"/>
              <w:bottom w:val="single" w:sz="4" w:space="0" w:color="000000"/>
              <w:right w:val="single" w:sz="4" w:space="0" w:color="000000"/>
            </w:tcBorders>
          </w:tcPr>
          <w:p w14:paraId="0F82B13D" w14:textId="0BDCF79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Other advances paid</w:t>
            </w:r>
          </w:p>
        </w:tc>
        <w:tc>
          <w:tcPr>
            <w:tcW w:w="1560" w:type="dxa"/>
            <w:tcBorders>
              <w:top w:val="single" w:sz="4" w:space="0" w:color="000000"/>
              <w:left w:val="single" w:sz="4" w:space="0" w:color="000000"/>
              <w:bottom w:val="single" w:sz="4" w:space="0" w:color="000000"/>
              <w:right w:val="single" w:sz="4" w:space="0" w:color="000000"/>
            </w:tcBorders>
          </w:tcPr>
          <w:p w14:paraId="23D62610" w14:textId="3DE9B44C"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84</w:t>
            </w:r>
          </w:p>
        </w:tc>
      </w:tr>
      <w:tr w:rsidR="00D60E26" w:rsidRPr="00F97CB0" w14:paraId="36B5C8C9" w14:textId="77777777" w:rsidTr="00882CF8">
        <w:trPr>
          <w:trHeight w:val="290"/>
        </w:trPr>
        <w:tc>
          <w:tcPr>
            <w:tcW w:w="7372" w:type="dxa"/>
            <w:tcBorders>
              <w:top w:val="single" w:sz="4" w:space="0" w:color="000000"/>
              <w:left w:val="single" w:sz="4" w:space="0" w:color="000000"/>
              <w:bottom w:val="single" w:sz="4" w:space="0" w:color="000000"/>
              <w:right w:val="single" w:sz="4" w:space="0" w:color="000000"/>
            </w:tcBorders>
          </w:tcPr>
          <w:p w14:paraId="45DA83C7" w14:textId="3714021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6AFE3EA2" w14:textId="7BC1A873"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745</w:t>
            </w:r>
          </w:p>
        </w:tc>
      </w:tr>
    </w:tbl>
    <w:p w14:paraId="642EFC3E" w14:textId="77777777" w:rsidR="00722812" w:rsidRPr="00F97CB0" w:rsidRDefault="00722812" w:rsidP="00641CA1">
      <w:pPr>
        <w:rPr>
          <w:rFonts w:ascii="Times New Roman" w:hAnsi="Times New Roman" w:cs="Times New Roman"/>
          <w:b/>
          <w:sz w:val="24"/>
          <w:szCs w:val="24"/>
        </w:rPr>
      </w:pPr>
    </w:p>
    <w:p w14:paraId="11054C2D" w14:textId="6AB4855C" w:rsidR="00D60E26" w:rsidRPr="00F97CB0" w:rsidRDefault="00D60E26" w:rsidP="00641CA1">
      <w:pPr>
        <w:rPr>
          <w:rFonts w:ascii="Times New Roman" w:hAnsi="Times New Roman" w:cs="Times New Roman"/>
          <w:b/>
          <w:sz w:val="24"/>
          <w:szCs w:val="24"/>
        </w:rPr>
      </w:pPr>
      <w:r w:rsidRPr="00F97CB0">
        <w:rPr>
          <w:rFonts w:ascii="Times New Roman" w:hAnsi="Times New Roman"/>
          <w:b/>
          <w:sz w:val="24"/>
        </w:rPr>
        <w:t>5.1.7. Sales receivables</w:t>
      </w:r>
    </w:p>
    <w:p w14:paraId="51BF615D" w14:textId="2A6D013A" w:rsidR="00D60E26" w:rsidRPr="00F97CB0" w:rsidRDefault="00D60E26" w:rsidP="001F17BD">
      <w:pPr>
        <w:spacing w:after="17"/>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Sales receivables are shown in the following table:</w:t>
      </w:r>
    </w:p>
    <w:p w14:paraId="3606FEC2" w14:textId="77777777" w:rsidR="00D60E26" w:rsidRPr="00F97CB0" w:rsidRDefault="00D60E26" w:rsidP="00610346">
      <w:pPr>
        <w:spacing w:after="13"/>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45682760" w14:textId="32D4C9A4"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18 – Sales receivables – in thousands of dinars</w:t>
      </w:r>
    </w:p>
    <w:tbl>
      <w:tblPr>
        <w:tblStyle w:val="TableGrid"/>
        <w:tblW w:w="8932" w:type="dxa"/>
        <w:tblInd w:w="0" w:type="dxa"/>
        <w:tblCellMar>
          <w:top w:w="7" w:type="dxa"/>
          <w:left w:w="70" w:type="dxa"/>
          <w:right w:w="10" w:type="dxa"/>
        </w:tblCellMar>
        <w:tblLook w:val="04A0" w:firstRow="1" w:lastRow="0" w:firstColumn="1" w:lastColumn="0" w:noHBand="0" w:noVBand="1"/>
      </w:tblPr>
      <w:tblGrid>
        <w:gridCol w:w="5814"/>
        <w:gridCol w:w="1558"/>
        <w:gridCol w:w="1560"/>
      </w:tblGrid>
      <w:tr w:rsidR="00D60E26" w:rsidRPr="00F97CB0" w14:paraId="7989261A"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47BB71FB" w14:textId="5F567E9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7D10776E" w14:textId="080D46CE"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7BC2C193" w14:textId="0062008A" w:rsidR="00D60E26" w:rsidRPr="00F97CB0" w:rsidRDefault="00D60E26"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D60E26" w:rsidRPr="00F97CB0" w14:paraId="66091BDD"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D879D79" w14:textId="32681E1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Buyers from the country</w:t>
            </w:r>
          </w:p>
        </w:tc>
        <w:tc>
          <w:tcPr>
            <w:tcW w:w="1558" w:type="dxa"/>
            <w:tcBorders>
              <w:top w:val="single" w:sz="4" w:space="0" w:color="000000"/>
              <w:left w:val="single" w:sz="4" w:space="0" w:color="000000"/>
              <w:bottom w:val="single" w:sz="4" w:space="0" w:color="000000"/>
              <w:right w:val="single" w:sz="4" w:space="0" w:color="000000"/>
            </w:tcBorders>
          </w:tcPr>
          <w:p w14:paraId="76B0DF54" w14:textId="28485B91" w:rsidR="00D60E26" w:rsidRPr="00F97CB0" w:rsidRDefault="00D60E26"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193,972</w:t>
            </w:r>
          </w:p>
        </w:tc>
        <w:tc>
          <w:tcPr>
            <w:tcW w:w="1560" w:type="dxa"/>
            <w:tcBorders>
              <w:top w:val="single" w:sz="4" w:space="0" w:color="000000"/>
              <w:left w:val="single" w:sz="4" w:space="0" w:color="000000"/>
              <w:bottom w:val="single" w:sz="4" w:space="0" w:color="000000"/>
              <w:right w:val="single" w:sz="4" w:space="0" w:color="000000"/>
            </w:tcBorders>
          </w:tcPr>
          <w:p w14:paraId="7A749871" w14:textId="4EC22D82"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258,051</w:t>
            </w:r>
          </w:p>
        </w:tc>
      </w:tr>
      <w:tr w:rsidR="00D60E26" w:rsidRPr="00F97CB0" w14:paraId="5104F1E1"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067ECE05" w14:textId="14434FD5"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Foreign buyers</w:t>
            </w:r>
          </w:p>
        </w:tc>
        <w:tc>
          <w:tcPr>
            <w:tcW w:w="1558" w:type="dxa"/>
            <w:tcBorders>
              <w:top w:val="single" w:sz="4" w:space="0" w:color="000000"/>
              <w:left w:val="single" w:sz="4" w:space="0" w:color="000000"/>
              <w:bottom w:val="single" w:sz="4" w:space="0" w:color="000000"/>
              <w:right w:val="single" w:sz="4" w:space="0" w:color="000000"/>
            </w:tcBorders>
          </w:tcPr>
          <w:p w14:paraId="49B25C66" w14:textId="7AED8BFC" w:rsidR="00D60E26" w:rsidRPr="00F97CB0" w:rsidRDefault="00D60E26"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66,481</w:t>
            </w:r>
          </w:p>
        </w:tc>
        <w:tc>
          <w:tcPr>
            <w:tcW w:w="1560" w:type="dxa"/>
            <w:tcBorders>
              <w:top w:val="single" w:sz="4" w:space="0" w:color="000000"/>
              <w:left w:val="single" w:sz="4" w:space="0" w:color="000000"/>
              <w:bottom w:val="single" w:sz="4" w:space="0" w:color="000000"/>
              <w:right w:val="single" w:sz="4" w:space="0" w:color="000000"/>
            </w:tcBorders>
          </w:tcPr>
          <w:p w14:paraId="5A8F92F0" w14:textId="0A58BF9A"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50,127</w:t>
            </w:r>
          </w:p>
        </w:tc>
      </w:tr>
      <w:tr w:rsidR="00D60E26" w:rsidRPr="00F97CB0" w14:paraId="2B6B8808"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45C025C5" w14:textId="755A6436"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Other sales receivables</w:t>
            </w:r>
          </w:p>
        </w:tc>
        <w:tc>
          <w:tcPr>
            <w:tcW w:w="1558" w:type="dxa"/>
            <w:tcBorders>
              <w:top w:val="single" w:sz="4" w:space="0" w:color="000000"/>
              <w:left w:val="single" w:sz="4" w:space="0" w:color="000000"/>
              <w:bottom w:val="single" w:sz="4" w:space="0" w:color="000000"/>
              <w:right w:val="single" w:sz="4" w:space="0" w:color="000000"/>
            </w:tcBorders>
          </w:tcPr>
          <w:p w14:paraId="7775D905" w14:textId="77777777" w:rsidR="00D60E26" w:rsidRPr="00F97CB0" w:rsidRDefault="00D60E26" w:rsidP="0035532B">
            <w:pPr>
              <w:jc w:val="right"/>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F138894" w14:textId="09BB3597"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16</w:t>
            </w:r>
          </w:p>
        </w:tc>
      </w:tr>
      <w:tr w:rsidR="00D60E26" w:rsidRPr="00F97CB0" w14:paraId="09F05BD1"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574E74E5" w14:textId="27C3508C"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Allowance for sales receivables</w:t>
            </w:r>
          </w:p>
        </w:tc>
        <w:tc>
          <w:tcPr>
            <w:tcW w:w="1558" w:type="dxa"/>
            <w:tcBorders>
              <w:top w:val="single" w:sz="4" w:space="0" w:color="000000"/>
              <w:left w:val="single" w:sz="4" w:space="0" w:color="000000"/>
              <w:bottom w:val="single" w:sz="4" w:space="0" w:color="000000"/>
              <w:right w:val="single" w:sz="4" w:space="0" w:color="000000"/>
            </w:tcBorders>
          </w:tcPr>
          <w:p w14:paraId="77E754CC" w14:textId="0620393D"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(61,457)</w:t>
            </w:r>
          </w:p>
        </w:tc>
        <w:tc>
          <w:tcPr>
            <w:tcW w:w="1560" w:type="dxa"/>
            <w:tcBorders>
              <w:top w:val="single" w:sz="4" w:space="0" w:color="000000"/>
              <w:left w:val="single" w:sz="4" w:space="0" w:color="000000"/>
              <w:bottom w:val="single" w:sz="4" w:space="0" w:color="000000"/>
              <w:right w:val="single" w:sz="4" w:space="0" w:color="000000"/>
            </w:tcBorders>
          </w:tcPr>
          <w:p w14:paraId="00AD0DA0" w14:textId="6E038FA2" w:rsidR="00D60E26" w:rsidRPr="00F97CB0" w:rsidRDefault="00D60E26" w:rsidP="0035532B">
            <w:pPr>
              <w:ind w:right="64"/>
              <w:jc w:val="right"/>
              <w:rPr>
                <w:rFonts w:ascii="Times New Roman" w:eastAsia="Times New Roman" w:hAnsi="Times New Roman" w:cs="Times New Roman"/>
                <w:color w:val="000000"/>
                <w:sz w:val="24"/>
              </w:rPr>
            </w:pPr>
            <w:r w:rsidRPr="00F97CB0">
              <w:rPr>
                <w:rFonts w:ascii="Times New Roman" w:hAnsi="Times New Roman"/>
                <w:color w:val="000000"/>
                <w:sz w:val="24"/>
              </w:rPr>
              <w:t>(69,246)</w:t>
            </w:r>
          </w:p>
        </w:tc>
      </w:tr>
      <w:tr w:rsidR="00D60E26" w:rsidRPr="00F97CB0" w14:paraId="6BE0D170"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64FF063D" w14:textId="0AF5D81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269F4909" w14:textId="1D4081D9" w:rsidR="00D60E26" w:rsidRPr="00F97CB0" w:rsidRDefault="00D60E26"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198,996</w:t>
            </w:r>
          </w:p>
        </w:tc>
        <w:tc>
          <w:tcPr>
            <w:tcW w:w="1560" w:type="dxa"/>
            <w:tcBorders>
              <w:top w:val="single" w:sz="4" w:space="0" w:color="000000"/>
              <w:left w:val="single" w:sz="4" w:space="0" w:color="000000"/>
              <w:bottom w:val="single" w:sz="4" w:space="0" w:color="000000"/>
              <w:right w:val="single" w:sz="4" w:space="0" w:color="000000"/>
            </w:tcBorders>
          </w:tcPr>
          <w:p w14:paraId="47C1AB98" w14:textId="19AA3962"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238,948</w:t>
            </w:r>
          </w:p>
        </w:tc>
      </w:tr>
    </w:tbl>
    <w:p w14:paraId="2ACFB31E" w14:textId="77777777" w:rsidR="00D60E26" w:rsidRPr="00F97CB0" w:rsidRDefault="00D60E26" w:rsidP="00610346">
      <w:pPr>
        <w:spacing w:after="25"/>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7D17626E" w14:textId="14708E6E" w:rsidR="00D60E26" w:rsidRPr="00F97CB0" w:rsidRDefault="00D60E26" w:rsidP="00641CA1">
      <w:pPr>
        <w:rPr>
          <w:rFonts w:ascii="Times New Roman" w:hAnsi="Times New Roman" w:cs="Times New Roman"/>
          <w:b/>
          <w:sz w:val="24"/>
          <w:szCs w:val="24"/>
        </w:rPr>
      </w:pPr>
      <w:r w:rsidRPr="00F97CB0">
        <w:rPr>
          <w:rFonts w:ascii="Times New Roman" w:hAnsi="Times New Roman"/>
          <w:b/>
          <w:sz w:val="24"/>
        </w:rPr>
        <w:t>Buyers from the country</w:t>
      </w:r>
    </w:p>
    <w:p w14:paraId="45F5C955" w14:textId="606AB3D7" w:rsidR="00D60E26" w:rsidRPr="00F97CB0" w:rsidRDefault="00D60E26" w:rsidP="001F17BD">
      <w:pPr>
        <w:spacing w:after="0"/>
        <w:ind w:firstLine="720"/>
        <w:jc w:val="both"/>
        <w:rPr>
          <w:rFonts w:ascii="Times New Roman" w:hAnsi="Times New Roman"/>
          <w:color w:val="000000"/>
          <w:sz w:val="24"/>
        </w:rPr>
      </w:pPr>
      <w:r w:rsidRPr="00F97CB0">
        <w:rPr>
          <w:rFonts w:ascii="Times New Roman" w:hAnsi="Times New Roman"/>
          <w:color w:val="000000"/>
          <w:sz w:val="24"/>
        </w:rPr>
        <w:t>Buyers from the country are reported in the amount of 193,972 thousand dinars, and they mostly relate to:</w:t>
      </w:r>
    </w:p>
    <w:p w14:paraId="78823A6F" w14:textId="77777777" w:rsidR="00B21BA6" w:rsidRPr="00F97CB0" w:rsidRDefault="00B21BA6" w:rsidP="001F17BD">
      <w:pPr>
        <w:spacing w:after="0"/>
        <w:ind w:firstLine="720"/>
        <w:jc w:val="both"/>
        <w:rPr>
          <w:rFonts w:ascii="Times New Roman" w:eastAsia="Times New Roman" w:hAnsi="Times New Roman" w:cs="Times New Roman"/>
          <w:color w:val="000000"/>
          <w:sz w:val="24"/>
        </w:rPr>
      </w:pPr>
    </w:p>
    <w:p w14:paraId="0139A038" w14:textId="3D14C6C9"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19 – Buyers from the country – in thousands of dinars</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7310"/>
        <w:gridCol w:w="1622"/>
      </w:tblGrid>
      <w:tr w:rsidR="00D60E26" w:rsidRPr="00F97CB0" w14:paraId="1C7FDDDD"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1AC42BC2" w14:textId="3708B3C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622" w:type="dxa"/>
            <w:tcBorders>
              <w:top w:val="single" w:sz="4" w:space="0" w:color="000000"/>
              <w:left w:val="single" w:sz="4" w:space="0" w:color="000000"/>
              <w:bottom w:val="single" w:sz="4" w:space="0" w:color="000000"/>
              <w:right w:val="single" w:sz="4" w:space="0" w:color="000000"/>
            </w:tcBorders>
          </w:tcPr>
          <w:p w14:paraId="72CF79C8" w14:textId="18080DFC"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69D312B3" w14:textId="77777777" w:rsidTr="00882CF8">
        <w:trPr>
          <w:trHeight w:val="562"/>
        </w:trPr>
        <w:tc>
          <w:tcPr>
            <w:tcW w:w="7310" w:type="dxa"/>
            <w:tcBorders>
              <w:top w:val="single" w:sz="4" w:space="0" w:color="000000"/>
              <w:left w:val="single" w:sz="4" w:space="0" w:color="000000"/>
              <w:bottom w:val="single" w:sz="4" w:space="0" w:color="000000"/>
              <w:right w:val="single" w:sz="4" w:space="0" w:color="000000"/>
            </w:tcBorders>
          </w:tcPr>
          <w:p w14:paraId="706F2E3D" w14:textId="4A3E35AB"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Public Enterprise Electric Power Industry of Serbia, Belgrade, branch Hydropower plant Đerdap, Kladovo</w:t>
            </w:r>
          </w:p>
        </w:tc>
        <w:tc>
          <w:tcPr>
            <w:tcW w:w="1622" w:type="dxa"/>
            <w:tcBorders>
              <w:top w:val="single" w:sz="4" w:space="0" w:color="000000"/>
              <w:left w:val="single" w:sz="4" w:space="0" w:color="000000"/>
              <w:bottom w:val="single" w:sz="4" w:space="0" w:color="000000"/>
              <w:right w:val="single" w:sz="4" w:space="0" w:color="000000"/>
            </w:tcBorders>
            <w:vAlign w:val="center"/>
          </w:tcPr>
          <w:p w14:paraId="744DDAE2" w14:textId="63E5B215"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55,372</w:t>
            </w:r>
          </w:p>
        </w:tc>
      </w:tr>
      <w:tr w:rsidR="00D60E26" w:rsidRPr="00F97CB0" w14:paraId="3C23ED81" w14:textId="77777777" w:rsidTr="00882CF8">
        <w:trPr>
          <w:trHeight w:val="291"/>
        </w:trPr>
        <w:tc>
          <w:tcPr>
            <w:tcW w:w="7310" w:type="dxa"/>
            <w:tcBorders>
              <w:top w:val="single" w:sz="4" w:space="0" w:color="000000"/>
              <w:left w:val="single" w:sz="4" w:space="0" w:color="000000"/>
              <w:bottom w:val="single" w:sz="4" w:space="0" w:color="000000"/>
              <w:right w:val="single" w:sz="4" w:space="0" w:color="000000"/>
            </w:tcBorders>
          </w:tcPr>
          <w:p w14:paraId="61814DF1" w14:textId="7428211F"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A.S.A. Eco d.o.o., Kikinda</w:t>
            </w:r>
          </w:p>
        </w:tc>
        <w:tc>
          <w:tcPr>
            <w:tcW w:w="1622" w:type="dxa"/>
            <w:tcBorders>
              <w:top w:val="single" w:sz="4" w:space="0" w:color="000000"/>
              <w:left w:val="single" w:sz="4" w:space="0" w:color="000000"/>
              <w:bottom w:val="single" w:sz="4" w:space="0" w:color="000000"/>
              <w:right w:val="single" w:sz="4" w:space="0" w:color="000000"/>
            </w:tcBorders>
          </w:tcPr>
          <w:p w14:paraId="38980C7D" w14:textId="7DEDB2D5"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30,445</w:t>
            </w:r>
          </w:p>
        </w:tc>
      </w:tr>
      <w:tr w:rsidR="00D60E26" w:rsidRPr="00F97CB0" w14:paraId="4A3347B6"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495B3C63" w14:textId="5BCD21AC"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A.S.A. Eco d.o.o., Kikinda</w:t>
            </w:r>
          </w:p>
        </w:tc>
        <w:tc>
          <w:tcPr>
            <w:tcW w:w="1622" w:type="dxa"/>
            <w:tcBorders>
              <w:top w:val="single" w:sz="4" w:space="0" w:color="000000"/>
              <w:left w:val="single" w:sz="4" w:space="0" w:color="000000"/>
              <w:bottom w:val="single" w:sz="4" w:space="0" w:color="000000"/>
              <w:right w:val="single" w:sz="4" w:space="0" w:color="000000"/>
            </w:tcBorders>
          </w:tcPr>
          <w:p w14:paraId="4C288997" w14:textId="22F2821A"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16,995</w:t>
            </w:r>
          </w:p>
        </w:tc>
      </w:tr>
      <w:tr w:rsidR="00D60E26" w:rsidRPr="00F97CB0" w14:paraId="0B8C0FC7"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C52F380" w14:textId="09D24DB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Public Water Management Company Srbijavode, Belgrade</w:t>
            </w:r>
          </w:p>
        </w:tc>
        <w:tc>
          <w:tcPr>
            <w:tcW w:w="1622" w:type="dxa"/>
            <w:tcBorders>
              <w:top w:val="single" w:sz="4" w:space="0" w:color="000000"/>
              <w:left w:val="single" w:sz="4" w:space="0" w:color="000000"/>
              <w:bottom w:val="single" w:sz="4" w:space="0" w:color="000000"/>
              <w:right w:val="single" w:sz="4" w:space="0" w:color="000000"/>
            </w:tcBorders>
          </w:tcPr>
          <w:p w14:paraId="05543BF0" w14:textId="4C75E880"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11,126</w:t>
            </w:r>
          </w:p>
        </w:tc>
      </w:tr>
      <w:tr w:rsidR="00D60E26" w:rsidRPr="00F97CB0" w14:paraId="6FBB3127"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1745F181" w14:textId="63FD133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Municipality of Velika Plana, Velika Plana</w:t>
            </w:r>
          </w:p>
        </w:tc>
        <w:tc>
          <w:tcPr>
            <w:tcW w:w="1622" w:type="dxa"/>
            <w:tcBorders>
              <w:top w:val="single" w:sz="4" w:space="0" w:color="000000"/>
              <w:left w:val="single" w:sz="4" w:space="0" w:color="000000"/>
              <w:bottom w:val="single" w:sz="4" w:space="0" w:color="000000"/>
              <w:right w:val="single" w:sz="4" w:space="0" w:color="000000"/>
            </w:tcBorders>
          </w:tcPr>
          <w:p w14:paraId="714E9BC8" w14:textId="62655429"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4,248</w:t>
            </w:r>
          </w:p>
        </w:tc>
      </w:tr>
      <w:tr w:rsidR="00D60E26" w:rsidRPr="00F97CB0" w14:paraId="77FD7567"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7B599BC7" w14:textId="532E85B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International management group, Belgrade</w:t>
            </w:r>
          </w:p>
        </w:tc>
        <w:tc>
          <w:tcPr>
            <w:tcW w:w="1622" w:type="dxa"/>
            <w:tcBorders>
              <w:top w:val="single" w:sz="4" w:space="0" w:color="000000"/>
              <w:left w:val="single" w:sz="4" w:space="0" w:color="000000"/>
              <w:bottom w:val="single" w:sz="4" w:space="0" w:color="000000"/>
              <w:right w:val="single" w:sz="4" w:space="0" w:color="000000"/>
            </w:tcBorders>
          </w:tcPr>
          <w:p w14:paraId="37BA0FD0" w14:textId="645A84AE"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2,910</w:t>
            </w:r>
          </w:p>
        </w:tc>
      </w:tr>
      <w:tr w:rsidR="00D60E26" w:rsidRPr="00F97CB0" w14:paraId="412F453E" w14:textId="77777777" w:rsidTr="00882CF8">
        <w:trPr>
          <w:trHeight w:val="562"/>
        </w:trPr>
        <w:tc>
          <w:tcPr>
            <w:tcW w:w="7310" w:type="dxa"/>
            <w:tcBorders>
              <w:top w:val="single" w:sz="4" w:space="0" w:color="000000"/>
              <w:left w:val="single" w:sz="4" w:space="0" w:color="000000"/>
              <w:bottom w:val="single" w:sz="4" w:space="0" w:color="000000"/>
              <w:right w:val="single" w:sz="4" w:space="0" w:color="000000"/>
            </w:tcBorders>
          </w:tcPr>
          <w:p w14:paraId="518DDE43" w14:textId="3ACC0609"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City administration for health, social and environmental protection of the City of Sremska Mitrovica, Sremska Mitrovica</w:t>
            </w:r>
          </w:p>
        </w:tc>
        <w:tc>
          <w:tcPr>
            <w:tcW w:w="1622" w:type="dxa"/>
            <w:tcBorders>
              <w:top w:val="single" w:sz="4" w:space="0" w:color="000000"/>
              <w:left w:val="single" w:sz="4" w:space="0" w:color="000000"/>
              <w:bottom w:val="single" w:sz="4" w:space="0" w:color="000000"/>
              <w:right w:val="single" w:sz="4" w:space="0" w:color="000000"/>
            </w:tcBorders>
            <w:vAlign w:val="center"/>
          </w:tcPr>
          <w:p w14:paraId="4A949545" w14:textId="7FA0F49A"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2,520</w:t>
            </w:r>
          </w:p>
        </w:tc>
      </w:tr>
      <w:tr w:rsidR="00D60E26" w:rsidRPr="00F97CB0" w14:paraId="48EE22DD"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4D8038CF" w14:textId="67F6C709"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PE Electric Power Industry of Serbia, Belgrade</w:t>
            </w:r>
          </w:p>
        </w:tc>
        <w:tc>
          <w:tcPr>
            <w:tcW w:w="1622" w:type="dxa"/>
            <w:tcBorders>
              <w:top w:val="single" w:sz="4" w:space="0" w:color="000000"/>
              <w:left w:val="single" w:sz="4" w:space="0" w:color="000000"/>
              <w:bottom w:val="single" w:sz="4" w:space="0" w:color="000000"/>
              <w:right w:val="single" w:sz="4" w:space="0" w:color="000000"/>
            </w:tcBorders>
          </w:tcPr>
          <w:p w14:paraId="4B103C82" w14:textId="5CD4BFA4"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2,593</w:t>
            </w:r>
          </w:p>
        </w:tc>
      </w:tr>
      <w:tr w:rsidR="00D60E26" w:rsidRPr="00F97CB0" w14:paraId="28D3ADE0"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72BC57BE" w14:textId="013E962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RTB BOR Group – Copper mines, Bor</w:t>
            </w:r>
          </w:p>
        </w:tc>
        <w:tc>
          <w:tcPr>
            <w:tcW w:w="1622" w:type="dxa"/>
            <w:tcBorders>
              <w:top w:val="single" w:sz="4" w:space="0" w:color="000000"/>
              <w:left w:val="single" w:sz="4" w:space="0" w:color="000000"/>
              <w:bottom w:val="single" w:sz="4" w:space="0" w:color="000000"/>
              <w:right w:val="single" w:sz="4" w:space="0" w:color="000000"/>
            </w:tcBorders>
          </w:tcPr>
          <w:p w14:paraId="3E7EFD99" w14:textId="68C8CE9E"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5,100</w:t>
            </w:r>
          </w:p>
        </w:tc>
      </w:tr>
      <w:tr w:rsidR="00D60E26" w:rsidRPr="00F97CB0" w14:paraId="0D0566D2"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5BC2354D" w14:textId="12B02EB4"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Public Utility Company Vodovod, Zaječar</w:t>
            </w:r>
          </w:p>
        </w:tc>
        <w:tc>
          <w:tcPr>
            <w:tcW w:w="1622" w:type="dxa"/>
            <w:tcBorders>
              <w:top w:val="single" w:sz="4" w:space="0" w:color="000000"/>
              <w:left w:val="single" w:sz="4" w:space="0" w:color="000000"/>
              <w:bottom w:val="single" w:sz="4" w:space="0" w:color="000000"/>
              <w:right w:val="single" w:sz="4" w:space="0" w:color="000000"/>
            </w:tcBorders>
          </w:tcPr>
          <w:p w14:paraId="4483BD63" w14:textId="7AAB6DA5"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1,195</w:t>
            </w:r>
          </w:p>
        </w:tc>
      </w:tr>
      <w:tr w:rsidR="00D60E26" w:rsidRPr="00F97CB0" w14:paraId="07317D8B"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3463053" w14:textId="3390F996"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PUC Belgrade Waterworks and Sewerage, Belgrade</w:t>
            </w:r>
          </w:p>
        </w:tc>
        <w:tc>
          <w:tcPr>
            <w:tcW w:w="1622" w:type="dxa"/>
            <w:tcBorders>
              <w:top w:val="single" w:sz="4" w:space="0" w:color="000000"/>
              <w:left w:val="single" w:sz="4" w:space="0" w:color="000000"/>
              <w:bottom w:val="single" w:sz="4" w:space="0" w:color="000000"/>
              <w:right w:val="single" w:sz="4" w:space="0" w:color="000000"/>
            </w:tcBorders>
          </w:tcPr>
          <w:p w14:paraId="56B8B62B" w14:textId="1D9A4283"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1,800</w:t>
            </w:r>
          </w:p>
        </w:tc>
      </w:tr>
      <w:tr w:rsidR="00D60E26" w:rsidRPr="00F97CB0" w14:paraId="7CAE713E"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10AA02E2" w14:textId="5BC3B58C"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622" w:type="dxa"/>
            <w:tcBorders>
              <w:top w:val="single" w:sz="4" w:space="0" w:color="000000"/>
              <w:left w:val="single" w:sz="4" w:space="0" w:color="000000"/>
              <w:bottom w:val="single" w:sz="4" w:space="0" w:color="000000"/>
              <w:right w:val="single" w:sz="4" w:space="0" w:color="000000"/>
            </w:tcBorders>
          </w:tcPr>
          <w:p w14:paraId="653D5338" w14:textId="41F660E6"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134,304</w:t>
            </w:r>
          </w:p>
        </w:tc>
      </w:tr>
    </w:tbl>
    <w:p w14:paraId="4B3B58ED" w14:textId="7E18B5B0" w:rsidR="00D60E26" w:rsidRPr="00F97CB0" w:rsidRDefault="00D60E26" w:rsidP="00610346">
      <w:pPr>
        <w:spacing w:after="0"/>
        <w:jc w:val="both"/>
        <w:rPr>
          <w:rFonts w:ascii="Times New Roman" w:eastAsia="Times New Roman" w:hAnsi="Times New Roman" w:cs="Times New Roman"/>
          <w:color w:val="000000"/>
          <w:sz w:val="24"/>
        </w:rPr>
      </w:pPr>
    </w:p>
    <w:p w14:paraId="3ECF4A40" w14:textId="14FF2E7B"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lastRenderedPageBreak/>
        <w:t>Foreign buyers are reported in the amount of 66,841 thousand dinars, and they mostly relate to:</w:t>
      </w:r>
    </w:p>
    <w:p w14:paraId="31603E09" w14:textId="77777777" w:rsidR="00D60E26" w:rsidRPr="00F97CB0" w:rsidRDefault="00D60E26" w:rsidP="00610346">
      <w:pPr>
        <w:spacing w:after="10"/>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5438AF5E" w14:textId="310FF4A8"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Table No 20 – Foreign buyers – in thousands of dinars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7310"/>
        <w:gridCol w:w="1622"/>
      </w:tblGrid>
      <w:tr w:rsidR="00D60E26" w:rsidRPr="00F97CB0" w14:paraId="0139FECB"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1DAC89A9" w14:textId="1CA6DCCF"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622" w:type="dxa"/>
            <w:tcBorders>
              <w:top w:val="single" w:sz="4" w:space="0" w:color="000000"/>
              <w:left w:val="single" w:sz="4" w:space="0" w:color="000000"/>
              <w:bottom w:val="single" w:sz="4" w:space="0" w:color="000000"/>
              <w:right w:val="single" w:sz="4" w:space="0" w:color="000000"/>
            </w:tcBorders>
          </w:tcPr>
          <w:p w14:paraId="7F29CA12" w14:textId="32B9ABFE"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5353272F"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8F054BD" w14:textId="3D1BF5A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Hydropower plant Dabar, d.o.o., Trebinje</w:t>
            </w:r>
          </w:p>
        </w:tc>
        <w:tc>
          <w:tcPr>
            <w:tcW w:w="1622" w:type="dxa"/>
            <w:tcBorders>
              <w:top w:val="single" w:sz="4" w:space="0" w:color="000000"/>
              <w:left w:val="single" w:sz="4" w:space="0" w:color="000000"/>
              <w:bottom w:val="single" w:sz="4" w:space="0" w:color="000000"/>
              <w:right w:val="single" w:sz="4" w:space="0" w:color="000000"/>
            </w:tcBorders>
          </w:tcPr>
          <w:p w14:paraId="26EFA9D5" w14:textId="4871A68C"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29,301</w:t>
            </w:r>
          </w:p>
        </w:tc>
      </w:tr>
      <w:tr w:rsidR="00D60E26" w:rsidRPr="00F97CB0" w14:paraId="165CAE8D"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38130D41" w14:textId="384BBE06"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ZP Hydropower plant on Vrbas, Mrkonjić grad</w:t>
            </w:r>
          </w:p>
        </w:tc>
        <w:tc>
          <w:tcPr>
            <w:tcW w:w="1622" w:type="dxa"/>
            <w:tcBorders>
              <w:top w:val="single" w:sz="4" w:space="0" w:color="000000"/>
              <w:left w:val="single" w:sz="4" w:space="0" w:color="000000"/>
              <w:bottom w:val="single" w:sz="4" w:space="0" w:color="000000"/>
              <w:right w:val="single" w:sz="4" w:space="0" w:color="000000"/>
            </w:tcBorders>
          </w:tcPr>
          <w:p w14:paraId="4DF04A3C" w14:textId="4B0F2F49"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12,394</w:t>
            </w:r>
          </w:p>
        </w:tc>
      </w:tr>
      <w:tr w:rsidR="00D60E26" w:rsidRPr="00F97CB0" w14:paraId="743ED5D9" w14:textId="77777777" w:rsidTr="00882CF8">
        <w:trPr>
          <w:trHeight w:val="290"/>
        </w:trPr>
        <w:tc>
          <w:tcPr>
            <w:tcW w:w="7310" w:type="dxa"/>
            <w:tcBorders>
              <w:top w:val="single" w:sz="4" w:space="0" w:color="000000"/>
              <w:left w:val="single" w:sz="4" w:space="0" w:color="000000"/>
              <w:bottom w:val="single" w:sz="4" w:space="0" w:color="000000"/>
              <w:right w:val="single" w:sz="4" w:space="0" w:color="000000"/>
            </w:tcBorders>
          </w:tcPr>
          <w:p w14:paraId="7CA10706" w14:textId="4CC5B828"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Drinkadria</w:t>
            </w:r>
          </w:p>
        </w:tc>
        <w:tc>
          <w:tcPr>
            <w:tcW w:w="1622" w:type="dxa"/>
            <w:tcBorders>
              <w:top w:val="single" w:sz="4" w:space="0" w:color="000000"/>
              <w:left w:val="single" w:sz="4" w:space="0" w:color="000000"/>
              <w:bottom w:val="single" w:sz="4" w:space="0" w:color="000000"/>
              <w:right w:val="single" w:sz="4" w:space="0" w:color="000000"/>
            </w:tcBorders>
          </w:tcPr>
          <w:p w14:paraId="48976D09" w14:textId="2095E8FA"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10,296</w:t>
            </w:r>
          </w:p>
        </w:tc>
      </w:tr>
      <w:tr w:rsidR="00D60E26" w:rsidRPr="00F97CB0" w14:paraId="62B1D281" w14:textId="77777777" w:rsidTr="00882CF8">
        <w:trPr>
          <w:trHeight w:val="293"/>
        </w:trPr>
        <w:tc>
          <w:tcPr>
            <w:tcW w:w="7310" w:type="dxa"/>
            <w:tcBorders>
              <w:top w:val="single" w:sz="4" w:space="0" w:color="000000"/>
              <w:left w:val="single" w:sz="4" w:space="0" w:color="000000"/>
              <w:bottom w:val="single" w:sz="4" w:space="0" w:color="000000"/>
              <w:right w:val="single" w:sz="4" w:space="0" w:color="000000"/>
            </w:tcBorders>
          </w:tcPr>
          <w:p w14:paraId="299ECF08" w14:textId="5836B76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622" w:type="dxa"/>
            <w:tcBorders>
              <w:top w:val="single" w:sz="4" w:space="0" w:color="000000"/>
              <w:left w:val="single" w:sz="4" w:space="0" w:color="000000"/>
              <w:bottom w:val="single" w:sz="4" w:space="0" w:color="000000"/>
              <w:right w:val="single" w:sz="4" w:space="0" w:color="000000"/>
            </w:tcBorders>
          </w:tcPr>
          <w:p w14:paraId="4C7940A5" w14:textId="3217700D"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51,991</w:t>
            </w:r>
          </w:p>
        </w:tc>
      </w:tr>
    </w:tbl>
    <w:p w14:paraId="5AE59386" w14:textId="77777777" w:rsidR="00D60E26" w:rsidRPr="00F97CB0" w:rsidRDefault="00D60E26" w:rsidP="00610346">
      <w:pPr>
        <w:spacing w:after="0"/>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66E14B0F" w14:textId="46273207" w:rsidR="00D60E26" w:rsidRPr="00F97CB0" w:rsidRDefault="00D60E26" w:rsidP="005A0FC0">
      <w:pPr>
        <w:spacing w:after="0"/>
        <w:jc w:val="both"/>
        <w:rPr>
          <w:rFonts w:ascii="Times New Roman" w:hAnsi="Times New Roman" w:cs="Times New Roman"/>
          <w:b/>
          <w:sz w:val="24"/>
          <w:szCs w:val="24"/>
        </w:rPr>
      </w:pPr>
      <w:r w:rsidRPr="00F97CB0">
        <w:rPr>
          <w:rFonts w:ascii="Times New Roman" w:hAnsi="Times New Roman"/>
          <w:b/>
          <w:sz w:val="24"/>
        </w:rPr>
        <w:t>Allowance for sales receivables</w:t>
      </w:r>
    </w:p>
    <w:p w14:paraId="6E0760D2" w14:textId="77777777" w:rsidR="005A0FC0" w:rsidRPr="00F97CB0" w:rsidRDefault="00D60E26" w:rsidP="00B91301">
      <w:pPr>
        <w:spacing w:after="23"/>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3EA973C0" w14:textId="68B70C2F" w:rsidR="00D60E26" w:rsidRPr="00F97CB0" w:rsidRDefault="00D60E26" w:rsidP="00722812">
      <w:pPr>
        <w:spacing w:after="23"/>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Allowance for sales receivables is shown in the following table:</w:t>
      </w:r>
    </w:p>
    <w:p w14:paraId="05CA743B" w14:textId="77777777" w:rsidR="00D60E26" w:rsidRPr="00F97CB0" w:rsidRDefault="00D60E26" w:rsidP="00610346">
      <w:pPr>
        <w:spacing w:after="17"/>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42D9A8FD" w14:textId="515B5884"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21 – Allowance for receivables – in thousands of dinars</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5814"/>
        <w:gridCol w:w="1558"/>
        <w:gridCol w:w="1560"/>
      </w:tblGrid>
      <w:tr w:rsidR="00D60E26" w:rsidRPr="00F97CB0" w14:paraId="676963C5"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3334DC89" w14:textId="385F99F1"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0DFD3975" w14:textId="1194EECB"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4691EE22" w14:textId="19998CC2" w:rsidR="00D60E26" w:rsidRPr="00F97CB0" w:rsidRDefault="00D60E26"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D60E26" w:rsidRPr="00F97CB0" w14:paraId="25DC72EF"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5125591A" w14:textId="46A19229"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Allowance for receivables</w:t>
            </w:r>
          </w:p>
        </w:tc>
        <w:tc>
          <w:tcPr>
            <w:tcW w:w="1558" w:type="dxa"/>
            <w:tcBorders>
              <w:top w:val="single" w:sz="4" w:space="0" w:color="000000"/>
              <w:left w:val="single" w:sz="4" w:space="0" w:color="000000"/>
              <w:bottom w:val="single" w:sz="4" w:space="0" w:color="000000"/>
              <w:right w:val="single" w:sz="4" w:space="0" w:color="000000"/>
            </w:tcBorders>
          </w:tcPr>
          <w:p w14:paraId="20D820CD" w14:textId="6D1B74F8"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(61,457)</w:t>
            </w:r>
          </w:p>
        </w:tc>
        <w:tc>
          <w:tcPr>
            <w:tcW w:w="1560" w:type="dxa"/>
            <w:tcBorders>
              <w:top w:val="single" w:sz="4" w:space="0" w:color="000000"/>
              <w:left w:val="single" w:sz="4" w:space="0" w:color="000000"/>
              <w:bottom w:val="single" w:sz="4" w:space="0" w:color="000000"/>
              <w:right w:val="single" w:sz="4" w:space="0" w:color="000000"/>
            </w:tcBorders>
          </w:tcPr>
          <w:p w14:paraId="1E6F1099" w14:textId="5163392A" w:rsidR="00D60E26" w:rsidRPr="00F97CB0" w:rsidRDefault="00D60E26" w:rsidP="0035532B">
            <w:pPr>
              <w:ind w:right="64"/>
              <w:jc w:val="right"/>
              <w:rPr>
                <w:rFonts w:ascii="Times New Roman" w:eastAsia="Times New Roman" w:hAnsi="Times New Roman" w:cs="Times New Roman"/>
                <w:color w:val="000000"/>
                <w:sz w:val="24"/>
              </w:rPr>
            </w:pPr>
            <w:r w:rsidRPr="00F97CB0">
              <w:rPr>
                <w:rFonts w:ascii="Times New Roman" w:hAnsi="Times New Roman"/>
                <w:color w:val="000000"/>
                <w:sz w:val="24"/>
              </w:rPr>
              <w:t>(69,246)</w:t>
            </w:r>
          </w:p>
        </w:tc>
      </w:tr>
      <w:tr w:rsidR="00D60E26" w:rsidRPr="00F97CB0" w14:paraId="71DEAD2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531FAE4" w14:textId="3F71000B"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3972BBEB" w14:textId="7AC15D3F"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(61,457)</w:t>
            </w:r>
          </w:p>
        </w:tc>
        <w:tc>
          <w:tcPr>
            <w:tcW w:w="1560" w:type="dxa"/>
            <w:tcBorders>
              <w:top w:val="single" w:sz="4" w:space="0" w:color="000000"/>
              <w:left w:val="single" w:sz="4" w:space="0" w:color="000000"/>
              <w:bottom w:val="single" w:sz="4" w:space="0" w:color="000000"/>
              <w:right w:val="single" w:sz="4" w:space="0" w:color="000000"/>
            </w:tcBorders>
          </w:tcPr>
          <w:p w14:paraId="019FFDF7" w14:textId="6694EFD3" w:rsidR="00D60E26" w:rsidRPr="00F97CB0" w:rsidRDefault="00D60E26" w:rsidP="0035532B">
            <w:pPr>
              <w:ind w:right="64"/>
              <w:jc w:val="right"/>
              <w:rPr>
                <w:rFonts w:ascii="Times New Roman" w:eastAsia="Times New Roman" w:hAnsi="Times New Roman" w:cs="Times New Roman"/>
                <w:color w:val="000000"/>
                <w:sz w:val="24"/>
              </w:rPr>
            </w:pPr>
            <w:r w:rsidRPr="00F97CB0">
              <w:rPr>
                <w:rFonts w:ascii="Times New Roman" w:hAnsi="Times New Roman"/>
                <w:b/>
                <w:color w:val="000000"/>
                <w:sz w:val="24"/>
              </w:rPr>
              <w:t>(69,246)</w:t>
            </w:r>
          </w:p>
        </w:tc>
      </w:tr>
    </w:tbl>
    <w:p w14:paraId="06A62C8F" w14:textId="77777777" w:rsidR="00D60E26" w:rsidRPr="00F97CB0" w:rsidRDefault="00D60E26" w:rsidP="00610346">
      <w:pPr>
        <w:spacing w:after="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30081230" w14:textId="672333CB"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Structure and balance of allowance for receivables claims as of 31 December 2015 is shown in the following table:</w:t>
      </w:r>
    </w:p>
    <w:p w14:paraId="40AE83AB" w14:textId="77777777" w:rsidR="00D60E26" w:rsidRPr="00F97CB0" w:rsidRDefault="00D60E26" w:rsidP="00610346">
      <w:pPr>
        <w:spacing w:after="2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01FE14DC" w14:textId="4C86E0F7"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22 – Structure of allowance for sales receivables – in thousands of dinars</w:t>
      </w:r>
    </w:p>
    <w:tbl>
      <w:tblPr>
        <w:tblStyle w:val="TableGrid"/>
        <w:tblW w:w="8932" w:type="dxa"/>
        <w:tblInd w:w="0" w:type="dxa"/>
        <w:tblCellMar>
          <w:top w:w="14" w:type="dxa"/>
          <w:left w:w="70" w:type="dxa"/>
          <w:right w:w="12" w:type="dxa"/>
        </w:tblCellMar>
        <w:tblLook w:val="04A0" w:firstRow="1" w:lastRow="0" w:firstColumn="1" w:lastColumn="0" w:noHBand="0" w:noVBand="1"/>
      </w:tblPr>
      <w:tblGrid>
        <w:gridCol w:w="7372"/>
        <w:gridCol w:w="1560"/>
      </w:tblGrid>
      <w:tr w:rsidR="00D60E26" w:rsidRPr="00F97CB0" w14:paraId="0BA621F2" w14:textId="77777777" w:rsidTr="00882CF8">
        <w:trPr>
          <w:trHeight w:val="303"/>
        </w:trPr>
        <w:tc>
          <w:tcPr>
            <w:tcW w:w="7372" w:type="dxa"/>
            <w:tcBorders>
              <w:top w:val="single" w:sz="8" w:space="0" w:color="000000"/>
              <w:left w:val="single" w:sz="8" w:space="0" w:color="000000"/>
              <w:bottom w:val="single" w:sz="8" w:space="0" w:color="000000"/>
              <w:right w:val="single" w:sz="8" w:space="0" w:color="000000"/>
            </w:tcBorders>
          </w:tcPr>
          <w:p w14:paraId="0B72F851" w14:textId="5269D22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8" w:space="0" w:color="000000"/>
              <w:left w:val="single" w:sz="8" w:space="0" w:color="000000"/>
              <w:bottom w:val="single" w:sz="8" w:space="0" w:color="000000"/>
              <w:right w:val="single" w:sz="8" w:space="0" w:color="000000"/>
            </w:tcBorders>
          </w:tcPr>
          <w:p w14:paraId="54ACFE57" w14:textId="103D0FD4"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1E2FD4E5"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7F70FD01" w14:textId="40B06AA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Initial balance</w:t>
            </w:r>
          </w:p>
        </w:tc>
        <w:tc>
          <w:tcPr>
            <w:tcW w:w="1560" w:type="dxa"/>
            <w:tcBorders>
              <w:top w:val="single" w:sz="8" w:space="0" w:color="000000"/>
              <w:left w:val="single" w:sz="8" w:space="0" w:color="000000"/>
              <w:bottom w:val="single" w:sz="8" w:space="0" w:color="000000"/>
              <w:right w:val="single" w:sz="8" w:space="0" w:color="000000"/>
            </w:tcBorders>
          </w:tcPr>
          <w:p w14:paraId="2CA70321" w14:textId="6D7144FC"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69,246</w:t>
            </w:r>
          </w:p>
        </w:tc>
      </w:tr>
      <w:tr w:rsidR="00D60E26" w:rsidRPr="00F97CB0" w14:paraId="559C0406" w14:textId="77777777" w:rsidTr="00882CF8">
        <w:trPr>
          <w:trHeight w:val="300"/>
        </w:trPr>
        <w:tc>
          <w:tcPr>
            <w:tcW w:w="7372" w:type="dxa"/>
            <w:tcBorders>
              <w:top w:val="single" w:sz="8" w:space="0" w:color="000000"/>
              <w:left w:val="single" w:sz="8" w:space="0" w:color="000000"/>
              <w:bottom w:val="single" w:sz="8" w:space="0" w:color="000000"/>
              <w:right w:val="single" w:sz="8" w:space="0" w:color="000000"/>
            </w:tcBorders>
          </w:tcPr>
          <w:p w14:paraId="2C0708BE" w14:textId="4AF94B62"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Increase – allowance for receivables in 2015</w:t>
            </w:r>
          </w:p>
        </w:tc>
        <w:tc>
          <w:tcPr>
            <w:tcW w:w="1560" w:type="dxa"/>
            <w:tcBorders>
              <w:top w:val="single" w:sz="8" w:space="0" w:color="000000"/>
              <w:left w:val="single" w:sz="8" w:space="0" w:color="000000"/>
              <w:bottom w:val="single" w:sz="8" w:space="0" w:color="000000"/>
              <w:right w:val="single" w:sz="8" w:space="0" w:color="000000"/>
            </w:tcBorders>
          </w:tcPr>
          <w:p w14:paraId="24E739AA" w14:textId="2D706EE9"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7,954</w:t>
            </w:r>
          </w:p>
        </w:tc>
      </w:tr>
      <w:tr w:rsidR="00D60E26" w:rsidRPr="00F97CB0" w14:paraId="61DCD238"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5D534F24" w14:textId="58CDD4F4"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Reduction – collected, previously corrected</w:t>
            </w:r>
          </w:p>
        </w:tc>
        <w:tc>
          <w:tcPr>
            <w:tcW w:w="1560" w:type="dxa"/>
            <w:tcBorders>
              <w:top w:val="single" w:sz="8" w:space="0" w:color="000000"/>
              <w:left w:val="single" w:sz="8" w:space="0" w:color="000000"/>
              <w:bottom w:val="single" w:sz="8" w:space="0" w:color="000000"/>
              <w:right w:val="single" w:sz="8" w:space="0" w:color="000000"/>
            </w:tcBorders>
          </w:tcPr>
          <w:p w14:paraId="601006AC" w14:textId="4D5BA1C2" w:rsidR="00D60E26" w:rsidRPr="00F97CB0" w:rsidRDefault="00D60E26"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(16.208)</w:t>
            </w:r>
          </w:p>
        </w:tc>
      </w:tr>
      <w:tr w:rsidR="00D60E26" w:rsidRPr="00F97CB0" w14:paraId="5E9765D7"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6F799119" w14:textId="6B6F731F"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Direct write-off</w:t>
            </w:r>
          </w:p>
        </w:tc>
        <w:tc>
          <w:tcPr>
            <w:tcW w:w="1560" w:type="dxa"/>
            <w:tcBorders>
              <w:top w:val="single" w:sz="8" w:space="0" w:color="000000"/>
              <w:left w:val="single" w:sz="8" w:space="0" w:color="000000"/>
              <w:bottom w:val="single" w:sz="8" w:space="0" w:color="000000"/>
              <w:right w:val="single" w:sz="8" w:space="0" w:color="000000"/>
            </w:tcBorders>
          </w:tcPr>
          <w:p w14:paraId="25C0555C" w14:textId="4F596365" w:rsidR="00D60E26" w:rsidRPr="00F97CB0" w:rsidRDefault="00D60E26"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(205)</w:t>
            </w:r>
          </w:p>
        </w:tc>
      </w:tr>
      <w:tr w:rsidR="00D60E26" w:rsidRPr="00F97CB0" w14:paraId="7AA8F6A8"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712AC484" w14:textId="2DA06E5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Foreign exchange differences</w:t>
            </w:r>
          </w:p>
        </w:tc>
        <w:tc>
          <w:tcPr>
            <w:tcW w:w="1560" w:type="dxa"/>
            <w:tcBorders>
              <w:top w:val="single" w:sz="8" w:space="0" w:color="000000"/>
              <w:left w:val="single" w:sz="8" w:space="0" w:color="000000"/>
              <w:bottom w:val="single" w:sz="8" w:space="0" w:color="000000"/>
              <w:right w:val="single" w:sz="8" w:space="0" w:color="000000"/>
            </w:tcBorders>
          </w:tcPr>
          <w:p w14:paraId="10C1ECE0" w14:textId="33470451"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670</w:t>
            </w:r>
          </w:p>
        </w:tc>
      </w:tr>
      <w:tr w:rsidR="00D60E26" w:rsidRPr="00F97CB0" w14:paraId="6F4DB405"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F0B8E75" w14:textId="7EB5BFAA"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8" w:space="0" w:color="000000"/>
              <w:left w:val="single" w:sz="8" w:space="0" w:color="000000"/>
              <w:bottom w:val="single" w:sz="8" w:space="0" w:color="000000"/>
              <w:right w:val="single" w:sz="8" w:space="0" w:color="000000"/>
            </w:tcBorders>
          </w:tcPr>
          <w:p w14:paraId="3964E90F" w14:textId="467D5D1C"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61,457</w:t>
            </w:r>
          </w:p>
        </w:tc>
      </w:tr>
    </w:tbl>
    <w:p w14:paraId="13002046" w14:textId="77777777" w:rsidR="00D60E26" w:rsidRPr="00F97CB0" w:rsidRDefault="00D60E26" w:rsidP="00610346">
      <w:pPr>
        <w:spacing w:after="17"/>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06E2EC09" w14:textId="48F31F9D"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According to the Rulebook on Accounting and Accounting Policies of 15 September 2014, indirect write-off, </w:t>
      </w:r>
      <w:r w:rsidR="00B21BA6" w:rsidRPr="00F97CB0">
        <w:rPr>
          <w:rFonts w:ascii="Times New Roman" w:hAnsi="Times New Roman"/>
          <w:color w:val="000000"/>
          <w:sz w:val="24"/>
        </w:rPr>
        <w:t>i.e.,</w:t>
      </w:r>
      <w:r w:rsidRPr="00F97CB0">
        <w:rPr>
          <w:rFonts w:ascii="Times New Roman" w:hAnsi="Times New Roman"/>
          <w:color w:val="000000"/>
          <w:sz w:val="24"/>
        </w:rPr>
        <w:t xml:space="preserve"> allowance for receivables from buyers against the expenses of the period through the allowance account is made for receivables from buyers where at least 60 days have passed since the deadline for their collection. A direct write-off of receivables from buyers against the expenses of the period is made if irrecoverability is certain and documented. The decision on indirect and direct write-off is made by the Board of Directors on the proposal of the Commission for the listing of receivables and short-term placements.</w:t>
      </w:r>
    </w:p>
    <w:p w14:paraId="4A85B723" w14:textId="0C8FEAA4" w:rsidR="00D60E26" w:rsidRPr="00F97CB0" w:rsidRDefault="00D60E26" w:rsidP="00610346">
      <w:pPr>
        <w:spacing w:after="0"/>
        <w:jc w:val="both"/>
        <w:rPr>
          <w:rFonts w:ascii="Times New Roman" w:eastAsia="Times New Roman" w:hAnsi="Times New Roman" w:cs="Times New Roman"/>
          <w:color w:val="000000"/>
          <w:sz w:val="24"/>
        </w:rPr>
      </w:pPr>
    </w:p>
    <w:p w14:paraId="06CF9774" w14:textId="22D01116"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lastRenderedPageBreak/>
        <w:t>By the decision of the board of directors of 25 January 2016, the Company made an indirect write-off of receivables from buyers from the country and foreign buyers in the amount of 7,954 thousand dinars:</w:t>
      </w:r>
    </w:p>
    <w:p w14:paraId="64F1F988" w14:textId="77777777" w:rsidR="00D60E26" w:rsidRPr="00F97CB0" w:rsidRDefault="00D60E26" w:rsidP="00610346">
      <w:pPr>
        <w:spacing w:after="2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31FEBFAF" w14:textId="63E033F8" w:rsidR="00D60E26" w:rsidRPr="00F97CB0" w:rsidRDefault="00D60E26"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Table No 23 – Structure of impaired receivables and short-term placements – in thousands of dinars </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7444"/>
        <w:gridCol w:w="1488"/>
      </w:tblGrid>
      <w:tr w:rsidR="00D60E26" w:rsidRPr="00F97CB0" w14:paraId="292D6E9A"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150C57EC" w14:textId="6E09154C"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488" w:type="dxa"/>
            <w:tcBorders>
              <w:top w:val="single" w:sz="4" w:space="0" w:color="000000"/>
              <w:left w:val="single" w:sz="4" w:space="0" w:color="000000"/>
              <w:bottom w:val="single" w:sz="4" w:space="0" w:color="000000"/>
              <w:right w:val="single" w:sz="4" w:space="0" w:color="000000"/>
            </w:tcBorders>
          </w:tcPr>
          <w:p w14:paraId="1595A6D1" w14:textId="704B34FF" w:rsidR="00D60E26" w:rsidRPr="00F97CB0" w:rsidRDefault="00D60E26"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D60E26" w:rsidRPr="00F97CB0" w14:paraId="4C530E37" w14:textId="77777777" w:rsidTr="00882CF8">
        <w:trPr>
          <w:trHeight w:val="290"/>
        </w:trPr>
        <w:tc>
          <w:tcPr>
            <w:tcW w:w="7444" w:type="dxa"/>
            <w:tcBorders>
              <w:top w:val="single" w:sz="4" w:space="0" w:color="000000"/>
              <w:left w:val="single" w:sz="4" w:space="0" w:color="000000"/>
              <w:bottom w:val="single" w:sz="4" w:space="0" w:color="000000"/>
              <w:right w:val="single" w:sz="4" w:space="0" w:color="000000"/>
            </w:tcBorders>
          </w:tcPr>
          <w:p w14:paraId="4EF8D925" w14:textId="0531EBF3"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PD Kolubara </w:t>
            </w:r>
            <w:r w:rsidR="00993F03" w:rsidRPr="00F97CB0">
              <w:rPr>
                <w:rFonts w:ascii="Times New Roman" w:hAnsi="Times New Roman"/>
                <w:color w:val="000000"/>
                <w:sz w:val="24"/>
              </w:rPr>
              <w:t>d</w:t>
            </w:r>
            <w:r w:rsidRPr="00F97CB0">
              <w:rPr>
                <w:rFonts w:ascii="Times New Roman" w:hAnsi="Times New Roman"/>
                <w:color w:val="000000"/>
                <w:sz w:val="24"/>
              </w:rPr>
              <w:t xml:space="preserve">.о.о. </w:t>
            </w:r>
            <w:r w:rsidR="00993F03" w:rsidRPr="00F97CB0">
              <w:rPr>
                <w:rFonts w:ascii="Times New Roman" w:hAnsi="Times New Roman"/>
                <w:color w:val="000000"/>
                <w:sz w:val="24"/>
              </w:rPr>
              <w:t>Mionica</w:t>
            </w:r>
          </w:p>
        </w:tc>
        <w:tc>
          <w:tcPr>
            <w:tcW w:w="1488" w:type="dxa"/>
            <w:tcBorders>
              <w:top w:val="single" w:sz="4" w:space="0" w:color="000000"/>
              <w:left w:val="single" w:sz="4" w:space="0" w:color="000000"/>
              <w:bottom w:val="single" w:sz="4" w:space="0" w:color="000000"/>
              <w:right w:val="single" w:sz="4" w:space="0" w:color="000000"/>
            </w:tcBorders>
          </w:tcPr>
          <w:p w14:paraId="3BAF3A0E" w14:textId="232C44BF"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200</w:t>
            </w:r>
          </w:p>
        </w:tc>
      </w:tr>
      <w:tr w:rsidR="00D60E26" w:rsidRPr="00F97CB0" w14:paraId="73F3555F"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295539BC" w14:textId="3E6F71BB"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VP Ćuprija a.d., Ćuprija</w:t>
            </w:r>
          </w:p>
        </w:tc>
        <w:tc>
          <w:tcPr>
            <w:tcW w:w="1488" w:type="dxa"/>
            <w:tcBorders>
              <w:top w:val="single" w:sz="4" w:space="0" w:color="000000"/>
              <w:left w:val="single" w:sz="4" w:space="0" w:color="000000"/>
              <w:bottom w:val="single" w:sz="4" w:space="0" w:color="000000"/>
              <w:right w:val="single" w:sz="4" w:space="0" w:color="000000"/>
            </w:tcBorders>
          </w:tcPr>
          <w:p w14:paraId="4594AE66" w14:textId="74561F5C"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50</w:t>
            </w:r>
          </w:p>
        </w:tc>
      </w:tr>
      <w:tr w:rsidR="00D60E26" w:rsidRPr="00F97CB0" w14:paraId="1D20066A" w14:textId="77777777" w:rsidTr="00882CF8">
        <w:trPr>
          <w:trHeight w:val="562"/>
        </w:trPr>
        <w:tc>
          <w:tcPr>
            <w:tcW w:w="7444" w:type="dxa"/>
            <w:tcBorders>
              <w:top w:val="single" w:sz="4" w:space="0" w:color="000000"/>
              <w:left w:val="single" w:sz="4" w:space="0" w:color="000000"/>
              <w:bottom w:val="single" w:sz="4" w:space="0" w:color="000000"/>
              <w:right w:val="single" w:sz="4" w:space="0" w:color="000000"/>
            </w:tcBorders>
          </w:tcPr>
          <w:p w14:paraId="591F00F1" w14:textId="21E83DB0"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PE Directorate for Construction of the Municipality of Veliko Gradište, Veliko Gradište </w:t>
            </w:r>
          </w:p>
        </w:tc>
        <w:tc>
          <w:tcPr>
            <w:tcW w:w="1488" w:type="dxa"/>
            <w:tcBorders>
              <w:top w:val="single" w:sz="4" w:space="0" w:color="000000"/>
              <w:left w:val="single" w:sz="4" w:space="0" w:color="000000"/>
              <w:bottom w:val="single" w:sz="4" w:space="0" w:color="000000"/>
              <w:right w:val="single" w:sz="4" w:space="0" w:color="000000"/>
            </w:tcBorders>
            <w:vAlign w:val="center"/>
          </w:tcPr>
          <w:p w14:paraId="1573F8E4" w14:textId="26FE13AB"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3,180</w:t>
            </w:r>
          </w:p>
        </w:tc>
      </w:tr>
      <w:tr w:rsidR="00D60E26" w:rsidRPr="00F97CB0" w14:paraId="4F9B56B8"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70A2E433" w14:textId="65933AD6"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Ministry of Economy of the Republic of Serbia, Belgrade</w:t>
            </w:r>
          </w:p>
        </w:tc>
        <w:tc>
          <w:tcPr>
            <w:tcW w:w="1488" w:type="dxa"/>
            <w:tcBorders>
              <w:top w:val="single" w:sz="4" w:space="0" w:color="000000"/>
              <w:left w:val="single" w:sz="4" w:space="0" w:color="000000"/>
              <w:bottom w:val="single" w:sz="4" w:space="0" w:color="000000"/>
              <w:right w:val="single" w:sz="4" w:space="0" w:color="000000"/>
            </w:tcBorders>
          </w:tcPr>
          <w:p w14:paraId="3419749C" w14:textId="7C455BB6"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340</w:t>
            </w:r>
          </w:p>
        </w:tc>
      </w:tr>
      <w:tr w:rsidR="00D60E26" w:rsidRPr="00F97CB0" w14:paraId="7904D711" w14:textId="77777777" w:rsidTr="00882CF8">
        <w:trPr>
          <w:trHeight w:val="290"/>
        </w:trPr>
        <w:tc>
          <w:tcPr>
            <w:tcW w:w="7444" w:type="dxa"/>
            <w:tcBorders>
              <w:top w:val="single" w:sz="4" w:space="0" w:color="000000"/>
              <w:left w:val="single" w:sz="4" w:space="0" w:color="000000"/>
              <w:bottom w:val="single" w:sz="4" w:space="0" w:color="000000"/>
              <w:right w:val="single" w:sz="4" w:space="0" w:color="000000"/>
            </w:tcBorders>
          </w:tcPr>
          <w:p w14:paraId="155AA6B7" w14:textId="575BA569"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Vitamin d.o.o., Horgoš</w:t>
            </w:r>
          </w:p>
        </w:tc>
        <w:tc>
          <w:tcPr>
            <w:tcW w:w="1488" w:type="dxa"/>
            <w:tcBorders>
              <w:top w:val="single" w:sz="4" w:space="0" w:color="000000"/>
              <w:left w:val="single" w:sz="4" w:space="0" w:color="000000"/>
              <w:bottom w:val="single" w:sz="4" w:space="0" w:color="000000"/>
              <w:right w:val="single" w:sz="4" w:space="0" w:color="000000"/>
            </w:tcBorders>
          </w:tcPr>
          <w:p w14:paraId="51BA7419" w14:textId="0BDC5818"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710</w:t>
            </w:r>
          </w:p>
        </w:tc>
      </w:tr>
      <w:tr w:rsidR="00D60E26" w:rsidRPr="00F97CB0" w14:paraId="2C6D82D9"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49BBAE45" w14:textId="7AA84B6D"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Construction company Planum a.d., Belgrade</w:t>
            </w:r>
          </w:p>
        </w:tc>
        <w:tc>
          <w:tcPr>
            <w:tcW w:w="1488" w:type="dxa"/>
            <w:tcBorders>
              <w:top w:val="single" w:sz="4" w:space="0" w:color="000000"/>
              <w:left w:val="single" w:sz="4" w:space="0" w:color="000000"/>
              <w:bottom w:val="single" w:sz="4" w:space="0" w:color="000000"/>
              <w:right w:val="single" w:sz="4" w:space="0" w:color="000000"/>
            </w:tcBorders>
          </w:tcPr>
          <w:p w14:paraId="40197A16" w14:textId="1F2C57AE"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2,501</w:t>
            </w:r>
          </w:p>
        </w:tc>
      </w:tr>
      <w:tr w:rsidR="00D60E26" w:rsidRPr="00F97CB0" w14:paraId="5F500891"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0041850B" w14:textId="37A4C717"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Hidrogis system</w:t>
            </w:r>
            <w:r w:rsidR="00993F03" w:rsidRPr="00F97CB0">
              <w:rPr>
                <w:rFonts w:ascii="Times New Roman" w:hAnsi="Times New Roman"/>
                <w:color w:val="000000"/>
                <w:sz w:val="24"/>
              </w:rPr>
              <w:t xml:space="preserve"> </w:t>
            </w:r>
            <w:r w:rsidRPr="00F97CB0">
              <w:rPr>
                <w:rFonts w:ascii="Times New Roman" w:hAnsi="Times New Roman"/>
                <w:color w:val="000000"/>
                <w:sz w:val="24"/>
              </w:rPr>
              <w:t>d.o.o., Podgorica</w:t>
            </w:r>
          </w:p>
        </w:tc>
        <w:tc>
          <w:tcPr>
            <w:tcW w:w="1488" w:type="dxa"/>
            <w:tcBorders>
              <w:top w:val="single" w:sz="4" w:space="0" w:color="000000"/>
              <w:left w:val="single" w:sz="4" w:space="0" w:color="000000"/>
              <w:bottom w:val="single" w:sz="4" w:space="0" w:color="000000"/>
              <w:right w:val="single" w:sz="4" w:space="0" w:color="000000"/>
            </w:tcBorders>
          </w:tcPr>
          <w:p w14:paraId="6C99B20A" w14:textId="032C6237"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973</w:t>
            </w:r>
          </w:p>
        </w:tc>
      </w:tr>
      <w:tr w:rsidR="00D60E26" w:rsidRPr="00F97CB0" w14:paraId="4189F7A6" w14:textId="77777777" w:rsidTr="00882CF8">
        <w:trPr>
          <w:trHeight w:val="293"/>
        </w:trPr>
        <w:tc>
          <w:tcPr>
            <w:tcW w:w="7444" w:type="dxa"/>
            <w:tcBorders>
              <w:top w:val="single" w:sz="4" w:space="0" w:color="000000"/>
              <w:left w:val="single" w:sz="4" w:space="0" w:color="000000"/>
              <w:bottom w:val="single" w:sz="4" w:space="0" w:color="000000"/>
              <w:right w:val="single" w:sz="4" w:space="0" w:color="000000"/>
            </w:tcBorders>
          </w:tcPr>
          <w:p w14:paraId="1C65904C" w14:textId="47768AE8" w:rsidR="00D60E26" w:rsidRPr="00F97CB0" w:rsidRDefault="00D60E26"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488" w:type="dxa"/>
            <w:tcBorders>
              <w:top w:val="single" w:sz="4" w:space="0" w:color="000000"/>
              <w:left w:val="single" w:sz="4" w:space="0" w:color="000000"/>
              <w:bottom w:val="single" w:sz="4" w:space="0" w:color="000000"/>
              <w:right w:val="single" w:sz="4" w:space="0" w:color="000000"/>
            </w:tcBorders>
          </w:tcPr>
          <w:p w14:paraId="7F5D837B" w14:textId="58C08DB4" w:rsidR="00D60E26" w:rsidRPr="00F97CB0" w:rsidRDefault="00D60E26"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7,954</w:t>
            </w:r>
          </w:p>
        </w:tc>
      </w:tr>
    </w:tbl>
    <w:p w14:paraId="64EE7FC8" w14:textId="77777777" w:rsidR="00D60E26" w:rsidRPr="00F97CB0" w:rsidRDefault="00D60E26" w:rsidP="00610346">
      <w:pPr>
        <w:spacing w:after="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2CA90BC0" w14:textId="29BBC00C" w:rsidR="00D60E26" w:rsidRPr="00F97CB0" w:rsidRDefault="00D60E26"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In 2015, collected and previously indirectly corrected receivables amount to 16,207 thousand dinars. (Note No 5.2.11.)</w:t>
      </w:r>
    </w:p>
    <w:p w14:paraId="6C349465" w14:textId="77777777" w:rsidR="00D60E26" w:rsidRPr="00F97CB0" w:rsidRDefault="00D60E26" w:rsidP="00610346">
      <w:pPr>
        <w:spacing w:after="0"/>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25F6CF24" w14:textId="22C35711" w:rsidR="00736454" w:rsidRPr="00F97CB0" w:rsidRDefault="00736454" w:rsidP="00641CA1">
      <w:pPr>
        <w:rPr>
          <w:rFonts w:ascii="Times New Roman" w:hAnsi="Times New Roman" w:cs="Times New Roman"/>
          <w:b/>
          <w:sz w:val="24"/>
          <w:szCs w:val="24"/>
        </w:rPr>
      </w:pPr>
      <w:r w:rsidRPr="00F97CB0">
        <w:rPr>
          <w:rFonts w:ascii="Times New Roman" w:hAnsi="Times New Roman"/>
          <w:b/>
          <w:sz w:val="24"/>
        </w:rPr>
        <w:t>5.1.8. Receivables from specific works</w:t>
      </w:r>
    </w:p>
    <w:p w14:paraId="17A3CF77" w14:textId="3AEFDE53" w:rsidR="00736454" w:rsidRPr="00F97CB0" w:rsidRDefault="00736454" w:rsidP="001F17BD">
      <w:pPr>
        <w:spacing w:after="18"/>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from specific works are shown in the following table:</w:t>
      </w:r>
    </w:p>
    <w:p w14:paraId="025AD5EF" w14:textId="1F30E401" w:rsidR="00736454" w:rsidRPr="00F97CB0" w:rsidRDefault="00736454" w:rsidP="00610346">
      <w:pPr>
        <w:spacing w:after="13"/>
        <w:jc w:val="both"/>
        <w:rPr>
          <w:rFonts w:ascii="Times New Roman" w:eastAsia="Times New Roman" w:hAnsi="Times New Roman" w:cs="Times New Roman"/>
          <w:color w:val="000000"/>
          <w:sz w:val="24"/>
        </w:rPr>
      </w:pPr>
    </w:p>
    <w:p w14:paraId="71CDF329" w14:textId="31A7C9A3" w:rsidR="00736454" w:rsidRPr="00F97CB0"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24 – Receivables from specific works – in thousands of dinars</w:t>
      </w:r>
    </w:p>
    <w:tbl>
      <w:tblPr>
        <w:tblStyle w:val="TableGrid"/>
        <w:tblW w:w="8932" w:type="dxa"/>
        <w:tblInd w:w="0" w:type="dxa"/>
        <w:tblCellMar>
          <w:top w:w="9" w:type="dxa"/>
          <w:left w:w="70" w:type="dxa"/>
          <w:right w:w="10" w:type="dxa"/>
        </w:tblCellMar>
        <w:tblLook w:val="04A0" w:firstRow="1" w:lastRow="0" w:firstColumn="1" w:lastColumn="0" w:noHBand="0" w:noVBand="1"/>
      </w:tblPr>
      <w:tblGrid>
        <w:gridCol w:w="5814"/>
        <w:gridCol w:w="1558"/>
        <w:gridCol w:w="1560"/>
      </w:tblGrid>
      <w:tr w:rsidR="00736454" w:rsidRPr="00F97CB0" w14:paraId="717B1D42"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04F654BA" w14:textId="2496BF7D"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791D0C1A" w14:textId="784571E2"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6A664BE9" w14:textId="1B2EDFC4" w:rsidR="00736454" w:rsidRPr="00F97CB0" w:rsidRDefault="00736454"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736454" w:rsidRPr="00F97CB0" w14:paraId="565745CC"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B1E513C" w14:textId="463CEB49"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from specific works</w:t>
            </w:r>
          </w:p>
        </w:tc>
        <w:tc>
          <w:tcPr>
            <w:tcW w:w="1558" w:type="dxa"/>
            <w:tcBorders>
              <w:top w:val="single" w:sz="4" w:space="0" w:color="000000"/>
              <w:left w:val="single" w:sz="4" w:space="0" w:color="000000"/>
              <w:bottom w:val="single" w:sz="4" w:space="0" w:color="000000"/>
              <w:right w:val="single" w:sz="4" w:space="0" w:color="000000"/>
            </w:tcBorders>
          </w:tcPr>
          <w:p w14:paraId="751F1FC5" w14:textId="0CEF52CD"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5,060</w:t>
            </w:r>
          </w:p>
        </w:tc>
        <w:tc>
          <w:tcPr>
            <w:tcW w:w="1560" w:type="dxa"/>
            <w:tcBorders>
              <w:top w:val="single" w:sz="4" w:space="0" w:color="000000"/>
              <w:left w:val="single" w:sz="4" w:space="0" w:color="000000"/>
              <w:bottom w:val="single" w:sz="4" w:space="0" w:color="000000"/>
              <w:right w:val="single" w:sz="4" w:space="0" w:color="000000"/>
            </w:tcBorders>
          </w:tcPr>
          <w:p w14:paraId="4612B284" w14:textId="7210D406"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4,633</w:t>
            </w:r>
          </w:p>
        </w:tc>
      </w:tr>
      <w:tr w:rsidR="00736454" w:rsidRPr="00F97CB0" w14:paraId="11B76EC8"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6D1D86C3" w14:textId="2A1B374C"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20C7D702" w14:textId="54483B1E"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5060</w:t>
            </w:r>
          </w:p>
        </w:tc>
        <w:tc>
          <w:tcPr>
            <w:tcW w:w="1560" w:type="dxa"/>
            <w:tcBorders>
              <w:top w:val="single" w:sz="4" w:space="0" w:color="000000"/>
              <w:left w:val="single" w:sz="4" w:space="0" w:color="000000"/>
              <w:bottom w:val="single" w:sz="4" w:space="0" w:color="000000"/>
              <w:right w:val="single" w:sz="4" w:space="0" w:color="000000"/>
            </w:tcBorders>
          </w:tcPr>
          <w:p w14:paraId="2D903E6C" w14:textId="0AA2DA20"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4,633</w:t>
            </w:r>
          </w:p>
        </w:tc>
      </w:tr>
    </w:tbl>
    <w:p w14:paraId="4521B550" w14:textId="71252809" w:rsidR="00736454" w:rsidRPr="00F97CB0" w:rsidRDefault="00736454" w:rsidP="00610346">
      <w:pPr>
        <w:spacing w:after="0"/>
        <w:jc w:val="both"/>
        <w:rPr>
          <w:rFonts w:ascii="Times New Roman" w:eastAsia="Times New Roman" w:hAnsi="Times New Roman" w:cs="Times New Roman"/>
          <w:color w:val="000000"/>
          <w:sz w:val="24"/>
        </w:rPr>
      </w:pPr>
    </w:p>
    <w:p w14:paraId="3935A2EB" w14:textId="397DE1C6" w:rsidR="00736454" w:rsidRPr="00F97CB0" w:rsidRDefault="00736454"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from specific works are reported in the amount of 5,060 thousand dinars and relates to receivables from the Ministry of Education, Science and Technological Development for gross remuneration for work of researchers on projects in December 2015, on the basis of concluded contracts on the implementation of projects and annexes to those contracts.</w:t>
      </w:r>
    </w:p>
    <w:p w14:paraId="59B7D794" w14:textId="2D4B3030" w:rsidR="00736454" w:rsidRPr="00F97CB0" w:rsidRDefault="00736454" w:rsidP="00610346">
      <w:pPr>
        <w:spacing w:after="30"/>
        <w:jc w:val="both"/>
        <w:rPr>
          <w:rFonts w:ascii="Times New Roman" w:eastAsia="Times New Roman" w:hAnsi="Times New Roman" w:cs="Times New Roman"/>
          <w:color w:val="000000"/>
          <w:sz w:val="24"/>
        </w:rPr>
      </w:pPr>
    </w:p>
    <w:p w14:paraId="7931730D" w14:textId="77777777" w:rsidR="005A0FC0" w:rsidRPr="00F97CB0" w:rsidRDefault="005A0FC0" w:rsidP="00610346">
      <w:pPr>
        <w:spacing w:after="30"/>
        <w:jc w:val="both"/>
        <w:rPr>
          <w:rFonts w:ascii="Times New Roman" w:eastAsia="Times New Roman" w:hAnsi="Times New Roman" w:cs="Times New Roman"/>
          <w:color w:val="000000"/>
          <w:sz w:val="24"/>
        </w:rPr>
      </w:pPr>
    </w:p>
    <w:p w14:paraId="7CD62A2B" w14:textId="38847150" w:rsidR="00736454" w:rsidRPr="00F97CB0" w:rsidRDefault="00736454" w:rsidP="00641CA1">
      <w:pPr>
        <w:rPr>
          <w:rFonts w:ascii="Times New Roman" w:hAnsi="Times New Roman" w:cs="Times New Roman"/>
          <w:b/>
          <w:sz w:val="24"/>
          <w:szCs w:val="24"/>
        </w:rPr>
      </w:pPr>
      <w:r w:rsidRPr="00F97CB0">
        <w:rPr>
          <w:rFonts w:ascii="Times New Roman" w:hAnsi="Times New Roman"/>
          <w:b/>
          <w:sz w:val="24"/>
        </w:rPr>
        <w:t>Other receivables</w:t>
      </w:r>
    </w:p>
    <w:p w14:paraId="4BEEEE9B" w14:textId="4BFBD5AA" w:rsidR="00736454" w:rsidRPr="00F97CB0" w:rsidRDefault="00736454" w:rsidP="001F17BD">
      <w:pPr>
        <w:spacing w:after="23"/>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Other receivables are shown in the following table:</w:t>
      </w:r>
    </w:p>
    <w:p w14:paraId="11178F82" w14:textId="1740BF2A" w:rsidR="005A0FC0" w:rsidRPr="00F97CB0" w:rsidRDefault="005A0FC0" w:rsidP="00641CA1">
      <w:pPr>
        <w:spacing w:after="11"/>
        <w:jc w:val="both"/>
        <w:rPr>
          <w:rFonts w:ascii="Times New Roman" w:eastAsia="Times New Roman" w:hAnsi="Times New Roman" w:cs="Times New Roman"/>
          <w:color w:val="000000"/>
          <w:sz w:val="24"/>
        </w:rPr>
      </w:pPr>
    </w:p>
    <w:p w14:paraId="67AE4E66" w14:textId="29F27105" w:rsidR="00736454" w:rsidRPr="00F97CB0" w:rsidRDefault="00736454" w:rsidP="00641CA1">
      <w:pPr>
        <w:spacing w:after="11"/>
        <w:jc w:val="both"/>
        <w:rPr>
          <w:rFonts w:ascii="Times New Roman" w:eastAsia="Times New Roman" w:hAnsi="Times New Roman" w:cs="Times New Roman"/>
          <w:color w:val="000000"/>
          <w:sz w:val="24"/>
        </w:rPr>
      </w:pPr>
      <w:r w:rsidRPr="00F97CB0">
        <w:rPr>
          <w:rFonts w:ascii="Times New Roman" w:hAnsi="Times New Roman"/>
          <w:color w:val="000000"/>
          <w:sz w:val="24"/>
        </w:rPr>
        <w:t>Table No 25 – Other receivables – in thousands of dinars</w:t>
      </w:r>
    </w:p>
    <w:tbl>
      <w:tblPr>
        <w:tblStyle w:val="TableGrid"/>
        <w:tblW w:w="8932" w:type="dxa"/>
        <w:tblInd w:w="0" w:type="dxa"/>
        <w:tblCellMar>
          <w:top w:w="7" w:type="dxa"/>
          <w:left w:w="70" w:type="dxa"/>
          <w:right w:w="10" w:type="dxa"/>
        </w:tblCellMar>
        <w:tblLook w:val="04A0" w:firstRow="1" w:lastRow="0" w:firstColumn="1" w:lastColumn="0" w:noHBand="0" w:noVBand="1"/>
      </w:tblPr>
      <w:tblGrid>
        <w:gridCol w:w="5814"/>
        <w:gridCol w:w="1558"/>
        <w:gridCol w:w="1560"/>
      </w:tblGrid>
      <w:tr w:rsidR="00736454" w:rsidRPr="00F97CB0" w14:paraId="0287B9C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25028842" w14:textId="54E6A096"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6D320059" w14:textId="0A2C8FE2"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32445543" w14:textId="6A988579" w:rsidR="00736454" w:rsidRPr="00F97CB0" w:rsidRDefault="00736454"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736454" w:rsidRPr="00F97CB0" w14:paraId="72346376"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2BEF5B0B" w14:textId="2EAB772E"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from employees</w:t>
            </w:r>
          </w:p>
        </w:tc>
        <w:tc>
          <w:tcPr>
            <w:tcW w:w="1558" w:type="dxa"/>
            <w:tcBorders>
              <w:top w:val="single" w:sz="4" w:space="0" w:color="000000"/>
              <w:left w:val="single" w:sz="4" w:space="0" w:color="000000"/>
              <w:bottom w:val="single" w:sz="4" w:space="0" w:color="000000"/>
              <w:right w:val="single" w:sz="4" w:space="0" w:color="000000"/>
            </w:tcBorders>
          </w:tcPr>
          <w:p w14:paraId="1884749E" w14:textId="0307EDA4"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1,047</w:t>
            </w:r>
          </w:p>
        </w:tc>
        <w:tc>
          <w:tcPr>
            <w:tcW w:w="1560" w:type="dxa"/>
            <w:tcBorders>
              <w:top w:val="single" w:sz="4" w:space="0" w:color="000000"/>
              <w:left w:val="single" w:sz="4" w:space="0" w:color="000000"/>
              <w:bottom w:val="single" w:sz="4" w:space="0" w:color="000000"/>
              <w:right w:val="single" w:sz="4" w:space="0" w:color="000000"/>
            </w:tcBorders>
          </w:tcPr>
          <w:p w14:paraId="2C7A7DAF" w14:textId="62345C75"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1,834</w:t>
            </w:r>
          </w:p>
        </w:tc>
      </w:tr>
      <w:tr w:rsidR="00736454" w:rsidRPr="00F97CB0" w14:paraId="7C8ACB40"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5ED88B3E" w14:textId="4E699416"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lastRenderedPageBreak/>
              <w:t>Receivables for overpaid income tax</w:t>
            </w:r>
          </w:p>
        </w:tc>
        <w:tc>
          <w:tcPr>
            <w:tcW w:w="1558" w:type="dxa"/>
            <w:tcBorders>
              <w:top w:val="single" w:sz="4" w:space="0" w:color="000000"/>
              <w:left w:val="single" w:sz="4" w:space="0" w:color="000000"/>
              <w:bottom w:val="single" w:sz="4" w:space="0" w:color="000000"/>
              <w:right w:val="single" w:sz="4" w:space="0" w:color="000000"/>
            </w:tcBorders>
          </w:tcPr>
          <w:p w14:paraId="3462C096" w14:textId="0DCBD0F9"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2,957</w:t>
            </w:r>
          </w:p>
        </w:tc>
        <w:tc>
          <w:tcPr>
            <w:tcW w:w="1560" w:type="dxa"/>
            <w:tcBorders>
              <w:top w:val="single" w:sz="4" w:space="0" w:color="000000"/>
              <w:left w:val="single" w:sz="4" w:space="0" w:color="000000"/>
              <w:bottom w:val="single" w:sz="4" w:space="0" w:color="000000"/>
              <w:right w:val="single" w:sz="4" w:space="0" w:color="000000"/>
            </w:tcBorders>
          </w:tcPr>
          <w:p w14:paraId="4B830605" w14:textId="773ECCB4"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2,404</w:t>
            </w:r>
          </w:p>
        </w:tc>
      </w:tr>
      <w:tr w:rsidR="00736454" w:rsidRPr="00F97CB0" w14:paraId="47ADFC4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73A4437E" w14:textId="4362DE38"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for refundable wage benefits</w:t>
            </w:r>
          </w:p>
        </w:tc>
        <w:tc>
          <w:tcPr>
            <w:tcW w:w="1558" w:type="dxa"/>
            <w:tcBorders>
              <w:top w:val="single" w:sz="4" w:space="0" w:color="000000"/>
              <w:left w:val="single" w:sz="4" w:space="0" w:color="000000"/>
              <w:bottom w:val="single" w:sz="4" w:space="0" w:color="000000"/>
              <w:right w:val="single" w:sz="4" w:space="0" w:color="000000"/>
            </w:tcBorders>
          </w:tcPr>
          <w:p w14:paraId="7FBE32AE" w14:textId="5F1C8A1E"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2,360</w:t>
            </w:r>
          </w:p>
        </w:tc>
        <w:tc>
          <w:tcPr>
            <w:tcW w:w="1560" w:type="dxa"/>
            <w:tcBorders>
              <w:top w:val="single" w:sz="4" w:space="0" w:color="000000"/>
              <w:left w:val="single" w:sz="4" w:space="0" w:color="000000"/>
              <w:bottom w:val="single" w:sz="4" w:space="0" w:color="000000"/>
              <w:right w:val="single" w:sz="4" w:space="0" w:color="000000"/>
            </w:tcBorders>
          </w:tcPr>
          <w:p w14:paraId="3EAB2B6E" w14:textId="3F40087B"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2,028</w:t>
            </w:r>
          </w:p>
        </w:tc>
      </w:tr>
      <w:tr w:rsidR="00736454" w:rsidRPr="00F97CB0" w14:paraId="71CEA5D4"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78B4A135" w14:textId="42F3E18F"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Other short-term receivables</w:t>
            </w:r>
          </w:p>
        </w:tc>
        <w:tc>
          <w:tcPr>
            <w:tcW w:w="1558" w:type="dxa"/>
            <w:tcBorders>
              <w:top w:val="single" w:sz="4" w:space="0" w:color="000000"/>
              <w:left w:val="single" w:sz="4" w:space="0" w:color="000000"/>
              <w:bottom w:val="single" w:sz="4" w:space="0" w:color="000000"/>
              <w:right w:val="single" w:sz="4" w:space="0" w:color="000000"/>
            </w:tcBorders>
          </w:tcPr>
          <w:p w14:paraId="449977E6" w14:textId="64EB7A70"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1,290</w:t>
            </w:r>
          </w:p>
        </w:tc>
        <w:tc>
          <w:tcPr>
            <w:tcW w:w="1560" w:type="dxa"/>
            <w:tcBorders>
              <w:top w:val="single" w:sz="4" w:space="0" w:color="000000"/>
              <w:left w:val="single" w:sz="4" w:space="0" w:color="000000"/>
              <w:bottom w:val="single" w:sz="4" w:space="0" w:color="000000"/>
              <w:right w:val="single" w:sz="4" w:space="0" w:color="000000"/>
            </w:tcBorders>
          </w:tcPr>
          <w:p w14:paraId="4E997FF4" w14:textId="16923087"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2,081</w:t>
            </w:r>
          </w:p>
        </w:tc>
      </w:tr>
      <w:tr w:rsidR="00736454" w:rsidRPr="00F97CB0" w14:paraId="723A21ED"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FBCAF54" w14:textId="21211546"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249EDFFE" w14:textId="38C4F6DA"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7,654</w:t>
            </w:r>
          </w:p>
        </w:tc>
        <w:tc>
          <w:tcPr>
            <w:tcW w:w="1560" w:type="dxa"/>
            <w:tcBorders>
              <w:top w:val="single" w:sz="4" w:space="0" w:color="000000"/>
              <w:left w:val="single" w:sz="4" w:space="0" w:color="000000"/>
              <w:bottom w:val="single" w:sz="4" w:space="0" w:color="000000"/>
              <w:right w:val="single" w:sz="4" w:space="0" w:color="000000"/>
            </w:tcBorders>
          </w:tcPr>
          <w:p w14:paraId="7E03C8C5" w14:textId="015C565B"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8,347</w:t>
            </w:r>
          </w:p>
        </w:tc>
      </w:tr>
    </w:tbl>
    <w:p w14:paraId="0528CDFC" w14:textId="77777777" w:rsidR="00722812" w:rsidRPr="00F97CB0" w:rsidRDefault="00736454" w:rsidP="00641CA1">
      <w:pPr>
        <w:spacing w:after="23"/>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68D572C5" w14:textId="0283716D" w:rsidR="00736454" w:rsidRPr="00F97CB0" w:rsidRDefault="00736454" w:rsidP="00722812">
      <w:pPr>
        <w:spacing w:after="23"/>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Receivables from employees are reported in the amount of 1,047 thousand dinars and relate to receivables from employees based on advance payments for business trips.</w:t>
      </w:r>
    </w:p>
    <w:p w14:paraId="5FA0D22C" w14:textId="07A31028" w:rsidR="00736454" w:rsidRPr="00F97CB0" w:rsidRDefault="00736454" w:rsidP="00610346">
      <w:pPr>
        <w:spacing w:after="27"/>
        <w:jc w:val="both"/>
        <w:rPr>
          <w:rFonts w:ascii="Times New Roman" w:eastAsia="Times New Roman" w:hAnsi="Times New Roman" w:cs="Times New Roman"/>
          <w:color w:val="000000"/>
          <w:sz w:val="24"/>
        </w:rPr>
      </w:pPr>
    </w:p>
    <w:p w14:paraId="4C5D86BB" w14:textId="15AF92CC" w:rsidR="00736454" w:rsidRPr="00F97CB0" w:rsidRDefault="00736454" w:rsidP="00641CA1">
      <w:pPr>
        <w:rPr>
          <w:rFonts w:ascii="Times New Roman" w:hAnsi="Times New Roman" w:cs="Times New Roman"/>
          <w:b/>
          <w:sz w:val="24"/>
          <w:szCs w:val="24"/>
        </w:rPr>
      </w:pPr>
      <w:r w:rsidRPr="00F97CB0">
        <w:rPr>
          <w:rFonts w:ascii="Times New Roman" w:hAnsi="Times New Roman"/>
          <w:b/>
          <w:sz w:val="24"/>
        </w:rPr>
        <w:t>5.1.9. Cash equivalents and cash</w:t>
      </w:r>
    </w:p>
    <w:p w14:paraId="03E188F8" w14:textId="7A5740D1" w:rsidR="00736454" w:rsidRPr="00F97CB0" w:rsidRDefault="00736454" w:rsidP="001F17BD">
      <w:pPr>
        <w:spacing w:after="0"/>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Cash equivalents and cash are reported in the amount of 58,874 thousand dinars and relate to:</w:t>
      </w:r>
    </w:p>
    <w:p w14:paraId="7E504EDB" w14:textId="005E8C4A" w:rsidR="00736454" w:rsidRPr="00F97CB0" w:rsidRDefault="00736454" w:rsidP="00610346">
      <w:pPr>
        <w:spacing w:after="19"/>
        <w:jc w:val="both"/>
        <w:rPr>
          <w:rFonts w:ascii="Times New Roman" w:eastAsia="Times New Roman" w:hAnsi="Times New Roman" w:cs="Times New Roman"/>
          <w:color w:val="000000"/>
          <w:sz w:val="24"/>
        </w:rPr>
      </w:pPr>
    </w:p>
    <w:p w14:paraId="69EE33AC" w14:textId="463897D3" w:rsidR="00736454" w:rsidRPr="00F97CB0"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26 – Cash equivalents and cash – in thousands of dinars</w:t>
      </w:r>
    </w:p>
    <w:tbl>
      <w:tblPr>
        <w:tblStyle w:val="TableGrid"/>
        <w:tblW w:w="8932" w:type="dxa"/>
        <w:tblInd w:w="0" w:type="dxa"/>
        <w:tblCellMar>
          <w:top w:w="15" w:type="dxa"/>
          <w:left w:w="70" w:type="dxa"/>
          <w:right w:w="10" w:type="dxa"/>
        </w:tblCellMar>
        <w:tblLook w:val="04A0" w:firstRow="1" w:lastRow="0" w:firstColumn="1" w:lastColumn="0" w:noHBand="0" w:noVBand="1"/>
      </w:tblPr>
      <w:tblGrid>
        <w:gridCol w:w="5956"/>
        <w:gridCol w:w="1390"/>
        <w:gridCol w:w="1586"/>
      </w:tblGrid>
      <w:tr w:rsidR="00736454" w:rsidRPr="00F97CB0" w14:paraId="34265DB7" w14:textId="77777777" w:rsidTr="00882CF8">
        <w:trPr>
          <w:trHeight w:val="300"/>
        </w:trPr>
        <w:tc>
          <w:tcPr>
            <w:tcW w:w="5955" w:type="dxa"/>
            <w:tcBorders>
              <w:top w:val="single" w:sz="8" w:space="0" w:color="000000"/>
              <w:left w:val="single" w:sz="8" w:space="0" w:color="000000"/>
              <w:bottom w:val="single" w:sz="8" w:space="0" w:color="000000"/>
              <w:right w:val="single" w:sz="8" w:space="0" w:color="000000"/>
            </w:tcBorders>
          </w:tcPr>
          <w:p w14:paraId="72414119" w14:textId="09642F5A"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390" w:type="dxa"/>
            <w:tcBorders>
              <w:top w:val="single" w:sz="8" w:space="0" w:color="000000"/>
              <w:left w:val="single" w:sz="8" w:space="0" w:color="000000"/>
              <w:bottom w:val="single" w:sz="8" w:space="0" w:color="000000"/>
              <w:right w:val="single" w:sz="8" w:space="0" w:color="000000"/>
            </w:tcBorders>
          </w:tcPr>
          <w:p w14:paraId="4C6B4056" w14:textId="7FB23045"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86" w:type="dxa"/>
            <w:tcBorders>
              <w:top w:val="single" w:sz="8" w:space="0" w:color="000000"/>
              <w:left w:val="single" w:sz="8" w:space="0" w:color="000000"/>
              <w:bottom w:val="single" w:sz="8" w:space="0" w:color="000000"/>
              <w:right w:val="single" w:sz="8" w:space="0" w:color="000000"/>
            </w:tcBorders>
          </w:tcPr>
          <w:p w14:paraId="498FFE94" w14:textId="71F2C997"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736454" w:rsidRPr="00F97CB0" w14:paraId="36C7E793"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3EE6092D" w14:textId="63794E42"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Current (operating) accounts</w:t>
            </w:r>
          </w:p>
        </w:tc>
        <w:tc>
          <w:tcPr>
            <w:tcW w:w="1390" w:type="dxa"/>
            <w:tcBorders>
              <w:top w:val="single" w:sz="8" w:space="0" w:color="000000"/>
              <w:left w:val="single" w:sz="8" w:space="0" w:color="000000"/>
              <w:bottom w:val="single" w:sz="8" w:space="0" w:color="000000"/>
              <w:right w:val="single" w:sz="8" w:space="0" w:color="000000"/>
            </w:tcBorders>
          </w:tcPr>
          <w:p w14:paraId="19FAD911" w14:textId="04254230"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14,362</w:t>
            </w:r>
          </w:p>
        </w:tc>
        <w:tc>
          <w:tcPr>
            <w:tcW w:w="1586" w:type="dxa"/>
            <w:tcBorders>
              <w:top w:val="single" w:sz="8" w:space="0" w:color="000000"/>
              <w:left w:val="single" w:sz="8" w:space="0" w:color="000000"/>
              <w:bottom w:val="single" w:sz="8" w:space="0" w:color="000000"/>
              <w:right w:val="single" w:sz="8" w:space="0" w:color="000000"/>
            </w:tcBorders>
          </w:tcPr>
          <w:p w14:paraId="47663339" w14:textId="6CBD59E8"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6,707</w:t>
            </w:r>
          </w:p>
        </w:tc>
      </w:tr>
      <w:tr w:rsidR="00736454" w:rsidRPr="00F97CB0" w14:paraId="41845970"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2E0BD263" w14:textId="3FBC2D84"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Cash book</w:t>
            </w:r>
          </w:p>
        </w:tc>
        <w:tc>
          <w:tcPr>
            <w:tcW w:w="1390" w:type="dxa"/>
            <w:tcBorders>
              <w:top w:val="single" w:sz="8" w:space="0" w:color="000000"/>
              <w:left w:val="single" w:sz="8" w:space="0" w:color="000000"/>
              <w:bottom w:val="single" w:sz="8" w:space="0" w:color="000000"/>
              <w:right w:val="single" w:sz="8" w:space="0" w:color="000000"/>
            </w:tcBorders>
          </w:tcPr>
          <w:p w14:paraId="1692ED98" w14:textId="2468E6B5"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39</w:t>
            </w:r>
          </w:p>
        </w:tc>
        <w:tc>
          <w:tcPr>
            <w:tcW w:w="1586" w:type="dxa"/>
            <w:tcBorders>
              <w:top w:val="single" w:sz="8" w:space="0" w:color="000000"/>
              <w:left w:val="single" w:sz="8" w:space="0" w:color="000000"/>
              <w:bottom w:val="single" w:sz="8" w:space="0" w:color="000000"/>
              <w:right w:val="single" w:sz="8" w:space="0" w:color="000000"/>
            </w:tcBorders>
          </w:tcPr>
          <w:p w14:paraId="1DB19A97" w14:textId="372EFD50"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20</w:t>
            </w:r>
          </w:p>
        </w:tc>
      </w:tr>
      <w:tr w:rsidR="00736454" w:rsidRPr="00F97CB0" w14:paraId="5CF4742F"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0D67FB93" w14:textId="312AFE3D"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Foreign currency account</w:t>
            </w:r>
          </w:p>
        </w:tc>
        <w:tc>
          <w:tcPr>
            <w:tcW w:w="1390" w:type="dxa"/>
            <w:tcBorders>
              <w:top w:val="single" w:sz="8" w:space="0" w:color="000000"/>
              <w:left w:val="single" w:sz="8" w:space="0" w:color="000000"/>
              <w:bottom w:val="single" w:sz="8" w:space="0" w:color="000000"/>
              <w:right w:val="single" w:sz="8" w:space="0" w:color="000000"/>
            </w:tcBorders>
          </w:tcPr>
          <w:p w14:paraId="692B00BB" w14:textId="67677B3A"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44,462</w:t>
            </w:r>
          </w:p>
        </w:tc>
        <w:tc>
          <w:tcPr>
            <w:tcW w:w="1586" w:type="dxa"/>
            <w:tcBorders>
              <w:top w:val="single" w:sz="8" w:space="0" w:color="000000"/>
              <w:left w:val="single" w:sz="8" w:space="0" w:color="000000"/>
              <w:bottom w:val="single" w:sz="8" w:space="0" w:color="000000"/>
              <w:right w:val="single" w:sz="8" w:space="0" w:color="000000"/>
            </w:tcBorders>
          </w:tcPr>
          <w:p w14:paraId="31C7E6F8" w14:textId="20B8AC6C"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88.560</w:t>
            </w:r>
          </w:p>
        </w:tc>
      </w:tr>
      <w:tr w:rsidR="00736454" w:rsidRPr="00F97CB0" w14:paraId="40A89E54"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291A22D7" w14:textId="59684978"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Foreign currency cash book</w:t>
            </w:r>
          </w:p>
        </w:tc>
        <w:tc>
          <w:tcPr>
            <w:tcW w:w="1390" w:type="dxa"/>
            <w:tcBorders>
              <w:top w:val="single" w:sz="8" w:space="0" w:color="000000"/>
              <w:left w:val="single" w:sz="8" w:space="0" w:color="000000"/>
              <w:bottom w:val="single" w:sz="8" w:space="0" w:color="000000"/>
              <w:right w:val="single" w:sz="8" w:space="0" w:color="000000"/>
            </w:tcBorders>
          </w:tcPr>
          <w:p w14:paraId="6AB75DEE" w14:textId="07EF593C"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10</w:t>
            </w:r>
          </w:p>
        </w:tc>
        <w:tc>
          <w:tcPr>
            <w:tcW w:w="1586" w:type="dxa"/>
            <w:tcBorders>
              <w:top w:val="single" w:sz="8" w:space="0" w:color="000000"/>
              <w:left w:val="single" w:sz="8" w:space="0" w:color="000000"/>
              <w:bottom w:val="single" w:sz="8" w:space="0" w:color="000000"/>
              <w:right w:val="single" w:sz="8" w:space="0" w:color="000000"/>
            </w:tcBorders>
          </w:tcPr>
          <w:p w14:paraId="179B6CC6" w14:textId="67BB7436"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48</w:t>
            </w:r>
          </w:p>
        </w:tc>
      </w:tr>
      <w:tr w:rsidR="00736454" w:rsidRPr="00F97CB0" w14:paraId="2402D5FF" w14:textId="77777777" w:rsidTr="00882CF8">
        <w:trPr>
          <w:trHeight w:val="303"/>
        </w:trPr>
        <w:tc>
          <w:tcPr>
            <w:tcW w:w="5955" w:type="dxa"/>
            <w:tcBorders>
              <w:top w:val="single" w:sz="8" w:space="0" w:color="000000"/>
              <w:left w:val="single" w:sz="8" w:space="0" w:color="000000"/>
              <w:bottom w:val="single" w:sz="8" w:space="0" w:color="000000"/>
              <w:right w:val="single" w:sz="8" w:space="0" w:color="000000"/>
            </w:tcBorders>
          </w:tcPr>
          <w:p w14:paraId="1FCED169" w14:textId="10D75C3C"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Other funds</w:t>
            </w:r>
          </w:p>
        </w:tc>
        <w:tc>
          <w:tcPr>
            <w:tcW w:w="1390" w:type="dxa"/>
            <w:tcBorders>
              <w:top w:val="single" w:sz="8" w:space="0" w:color="000000"/>
              <w:left w:val="single" w:sz="8" w:space="0" w:color="000000"/>
              <w:bottom w:val="single" w:sz="8" w:space="0" w:color="000000"/>
              <w:right w:val="single" w:sz="8" w:space="0" w:color="000000"/>
            </w:tcBorders>
          </w:tcPr>
          <w:p w14:paraId="5C447B44" w14:textId="043EFB43"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w:t>
            </w:r>
          </w:p>
        </w:tc>
        <w:tc>
          <w:tcPr>
            <w:tcW w:w="1586" w:type="dxa"/>
            <w:tcBorders>
              <w:top w:val="single" w:sz="8" w:space="0" w:color="000000"/>
              <w:left w:val="single" w:sz="8" w:space="0" w:color="000000"/>
              <w:bottom w:val="single" w:sz="8" w:space="0" w:color="000000"/>
              <w:right w:val="single" w:sz="8" w:space="0" w:color="000000"/>
            </w:tcBorders>
          </w:tcPr>
          <w:p w14:paraId="4A39BC8A" w14:textId="1D6638AD"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w:t>
            </w:r>
          </w:p>
        </w:tc>
      </w:tr>
      <w:tr w:rsidR="00736454" w:rsidRPr="00F97CB0" w14:paraId="308342F2" w14:textId="77777777" w:rsidTr="00882CF8">
        <w:trPr>
          <w:trHeight w:val="302"/>
        </w:trPr>
        <w:tc>
          <w:tcPr>
            <w:tcW w:w="5955" w:type="dxa"/>
            <w:tcBorders>
              <w:top w:val="single" w:sz="8" w:space="0" w:color="000000"/>
              <w:left w:val="single" w:sz="8" w:space="0" w:color="000000"/>
              <w:bottom w:val="single" w:sz="8" w:space="0" w:color="000000"/>
              <w:right w:val="single" w:sz="8" w:space="0" w:color="000000"/>
            </w:tcBorders>
          </w:tcPr>
          <w:p w14:paraId="1BD865A4" w14:textId="30FA22E5"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390" w:type="dxa"/>
            <w:tcBorders>
              <w:top w:val="single" w:sz="8" w:space="0" w:color="000000"/>
              <w:left w:val="single" w:sz="8" w:space="0" w:color="000000"/>
              <w:bottom w:val="single" w:sz="8" w:space="0" w:color="000000"/>
              <w:right w:val="single" w:sz="8" w:space="0" w:color="000000"/>
            </w:tcBorders>
          </w:tcPr>
          <w:p w14:paraId="57BFFB6D" w14:textId="7F39F01C"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58,874</w:t>
            </w:r>
          </w:p>
        </w:tc>
        <w:tc>
          <w:tcPr>
            <w:tcW w:w="1586" w:type="dxa"/>
            <w:tcBorders>
              <w:top w:val="single" w:sz="8" w:space="0" w:color="000000"/>
              <w:left w:val="single" w:sz="8" w:space="0" w:color="000000"/>
              <w:bottom w:val="single" w:sz="8" w:space="0" w:color="000000"/>
              <w:right w:val="single" w:sz="8" w:space="0" w:color="000000"/>
            </w:tcBorders>
          </w:tcPr>
          <w:p w14:paraId="7B1D5CEF" w14:textId="7598FE64"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95,336</w:t>
            </w:r>
          </w:p>
        </w:tc>
      </w:tr>
    </w:tbl>
    <w:p w14:paraId="36AC1D26" w14:textId="77777777" w:rsidR="00736454" w:rsidRPr="00F97CB0" w:rsidRDefault="00736454" w:rsidP="00610346">
      <w:pPr>
        <w:spacing w:after="23"/>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03E70F7A" w14:textId="07196E68" w:rsidR="00736454" w:rsidRPr="00F97CB0" w:rsidRDefault="00736454"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Current (operating) accounts by banks are shown in the table:</w:t>
      </w:r>
    </w:p>
    <w:p w14:paraId="52497889" w14:textId="77777777" w:rsidR="00736454" w:rsidRPr="00F97CB0" w:rsidRDefault="00736454" w:rsidP="00610346">
      <w:pPr>
        <w:spacing w:after="13"/>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67A208F7" w14:textId="75AD3CA2" w:rsidR="00736454" w:rsidRPr="00F97CB0"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27 – Current accounts by banks – in thousands of dinars</w:t>
      </w:r>
    </w:p>
    <w:tbl>
      <w:tblPr>
        <w:tblStyle w:val="TableGrid"/>
        <w:tblW w:w="8932" w:type="dxa"/>
        <w:tblInd w:w="0" w:type="dxa"/>
        <w:tblCellMar>
          <w:top w:w="14" w:type="dxa"/>
          <w:left w:w="70" w:type="dxa"/>
          <w:right w:w="12" w:type="dxa"/>
        </w:tblCellMar>
        <w:tblLook w:val="04A0" w:firstRow="1" w:lastRow="0" w:firstColumn="1" w:lastColumn="0" w:noHBand="0" w:noVBand="1"/>
      </w:tblPr>
      <w:tblGrid>
        <w:gridCol w:w="7372"/>
        <w:gridCol w:w="1560"/>
      </w:tblGrid>
      <w:tr w:rsidR="00736454" w:rsidRPr="00F97CB0" w14:paraId="17093538"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4E3EECD5" w14:textId="67612795"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8" w:space="0" w:color="000000"/>
              <w:left w:val="single" w:sz="8" w:space="0" w:color="000000"/>
              <w:bottom w:val="single" w:sz="8" w:space="0" w:color="000000"/>
              <w:right w:val="single" w:sz="8" w:space="0" w:color="000000"/>
            </w:tcBorders>
          </w:tcPr>
          <w:p w14:paraId="5F107FF1" w14:textId="3D584DEC"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736454" w:rsidRPr="00F97CB0" w14:paraId="731D0824" w14:textId="77777777" w:rsidTr="00882CF8">
        <w:trPr>
          <w:trHeight w:val="300"/>
        </w:trPr>
        <w:tc>
          <w:tcPr>
            <w:tcW w:w="7372" w:type="dxa"/>
            <w:tcBorders>
              <w:top w:val="single" w:sz="8" w:space="0" w:color="000000"/>
              <w:left w:val="single" w:sz="8" w:space="0" w:color="000000"/>
              <w:bottom w:val="single" w:sz="8" w:space="0" w:color="000000"/>
              <w:right w:val="single" w:sz="8" w:space="0" w:color="000000"/>
            </w:tcBorders>
          </w:tcPr>
          <w:p w14:paraId="574B51B3" w14:textId="153867A8"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Banca Intesa joint-stock company, Belgrade</w:t>
            </w:r>
          </w:p>
        </w:tc>
        <w:tc>
          <w:tcPr>
            <w:tcW w:w="1560" w:type="dxa"/>
            <w:tcBorders>
              <w:top w:val="single" w:sz="8" w:space="0" w:color="000000"/>
              <w:left w:val="single" w:sz="8" w:space="0" w:color="000000"/>
              <w:bottom w:val="single" w:sz="8" w:space="0" w:color="000000"/>
              <w:right w:val="single" w:sz="8" w:space="0" w:color="000000"/>
            </w:tcBorders>
          </w:tcPr>
          <w:p w14:paraId="7F8A2E3E" w14:textId="11FBFD2E"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14,161</w:t>
            </w:r>
          </w:p>
        </w:tc>
      </w:tr>
      <w:tr w:rsidR="00736454" w:rsidRPr="00F97CB0" w14:paraId="32B046F6"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BCE4497" w14:textId="2FED5A6B"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VTB Bank, Belgrade</w:t>
            </w:r>
          </w:p>
        </w:tc>
        <w:tc>
          <w:tcPr>
            <w:tcW w:w="1560" w:type="dxa"/>
            <w:tcBorders>
              <w:top w:val="single" w:sz="8" w:space="0" w:color="000000"/>
              <w:left w:val="single" w:sz="8" w:space="0" w:color="000000"/>
              <w:bottom w:val="single" w:sz="8" w:space="0" w:color="000000"/>
              <w:right w:val="single" w:sz="8" w:space="0" w:color="000000"/>
            </w:tcBorders>
          </w:tcPr>
          <w:p w14:paraId="732A23E7" w14:textId="0B2C7799"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188</w:t>
            </w:r>
          </w:p>
        </w:tc>
      </w:tr>
      <w:tr w:rsidR="00736454" w:rsidRPr="00F97CB0" w14:paraId="1FE1BAAB"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2F9F1087" w14:textId="3FB2922A"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Treasury Administration, Belgrade</w:t>
            </w:r>
          </w:p>
        </w:tc>
        <w:tc>
          <w:tcPr>
            <w:tcW w:w="1560" w:type="dxa"/>
            <w:tcBorders>
              <w:top w:val="single" w:sz="8" w:space="0" w:color="000000"/>
              <w:left w:val="single" w:sz="8" w:space="0" w:color="000000"/>
              <w:bottom w:val="single" w:sz="8" w:space="0" w:color="000000"/>
              <w:right w:val="single" w:sz="8" w:space="0" w:color="000000"/>
            </w:tcBorders>
          </w:tcPr>
          <w:p w14:paraId="0449D7A0" w14:textId="43F4F0AA"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13</w:t>
            </w:r>
          </w:p>
        </w:tc>
      </w:tr>
      <w:tr w:rsidR="00736454" w:rsidRPr="00F97CB0" w14:paraId="03CA30E6"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1C2E5AC" w14:textId="409E2030"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8" w:space="0" w:color="000000"/>
              <w:left w:val="single" w:sz="8" w:space="0" w:color="000000"/>
              <w:bottom w:val="single" w:sz="8" w:space="0" w:color="000000"/>
              <w:right w:val="single" w:sz="8" w:space="0" w:color="000000"/>
            </w:tcBorders>
          </w:tcPr>
          <w:p w14:paraId="1CF1D021" w14:textId="26C1798F"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14,362</w:t>
            </w:r>
          </w:p>
        </w:tc>
      </w:tr>
    </w:tbl>
    <w:p w14:paraId="7EC28FCA" w14:textId="77777777" w:rsidR="00736454" w:rsidRPr="00F97CB0" w:rsidRDefault="00736454" w:rsidP="00610346">
      <w:pPr>
        <w:spacing w:after="23"/>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091326FB" w14:textId="0D459D7E" w:rsidR="00736454" w:rsidRPr="00F97CB0" w:rsidRDefault="00736454" w:rsidP="00722812">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Foreign currency accounts of the Company are shown in the following table:</w:t>
      </w:r>
    </w:p>
    <w:p w14:paraId="269BEBD6" w14:textId="77777777" w:rsidR="005A0FC0" w:rsidRPr="00F97CB0" w:rsidRDefault="00736454" w:rsidP="005A0FC0">
      <w:pPr>
        <w:spacing w:after="8"/>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11F98458" w14:textId="42B7AC43" w:rsidR="00736454" w:rsidRPr="00F97CB0" w:rsidRDefault="00736454" w:rsidP="005A0FC0">
      <w:pPr>
        <w:spacing w:after="8"/>
        <w:jc w:val="both"/>
        <w:rPr>
          <w:rFonts w:ascii="Times New Roman" w:eastAsia="Times New Roman" w:hAnsi="Times New Roman" w:cs="Times New Roman"/>
          <w:color w:val="000000"/>
          <w:sz w:val="24"/>
        </w:rPr>
      </w:pPr>
      <w:r w:rsidRPr="00F97CB0">
        <w:rPr>
          <w:rFonts w:ascii="Times New Roman" w:hAnsi="Times New Roman"/>
          <w:color w:val="000000"/>
          <w:sz w:val="24"/>
        </w:rPr>
        <w:t>Table No 28 – Foreign currency accounts – in thousands of dinars</w:t>
      </w:r>
    </w:p>
    <w:tbl>
      <w:tblPr>
        <w:tblStyle w:val="TableGrid"/>
        <w:tblW w:w="8932" w:type="dxa"/>
        <w:tblInd w:w="0" w:type="dxa"/>
        <w:tblCellMar>
          <w:top w:w="14" w:type="dxa"/>
          <w:left w:w="70" w:type="dxa"/>
          <w:right w:w="12" w:type="dxa"/>
        </w:tblCellMar>
        <w:tblLook w:val="04A0" w:firstRow="1" w:lastRow="0" w:firstColumn="1" w:lastColumn="0" w:noHBand="0" w:noVBand="1"/>
      </w:tblPr>
      <w:tblGrid>
        <w:gridCol w:w="7372"/>
        <w:gridCol w:w="1560"/>
      </w:tblGrid>
      <w:tr w:rsidR="00736454" w:rsidRPr="00F97CB0" w14:paraId="77CA14DB"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2C56E6E2" w14:textId="2BC355E9"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8" w:space="0" w:color="000000"/>
              <w:left w:val="single" w:sz="8" w:space="0" w:color="000000"/>
              <w:bottom w:val="single" w:sz="8" w:space="0" w:color="000000"/>
              <w:right w:val="single" w:sz="8" w:space="0" w:color="000000"/>
            </w:tcBorders>
          </w:tcPr>
          <w:p w14:paraId="1CE42772" w14:textId="70C1293F"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736454" w:rsidRPr="00F97CB0" w14:paraId="53C4B803"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1E8F0A99" w14:textId="7FC3991E"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Banca Intesa joint-stock company, Belgrade</w:t>
            </w:r>
          </w:p>
        </w:tc>
        <w:tc>
          <w:tcPr>
            <w:tcW w:w="1560" w:type="dxa"/>
            <w:tcBorders>
              <w:top w:val="single" w:sz="8" w:space="0" w:color="000000"/>
              <w:left w:val="single" w:sz="8" w:space="0" w:color="000000"/>
              <w:bottom w:val="single" w:sz="8" w:space="0" w:color="000000"/>
              <w:right w:val="single" w:sz="8" w:space="0" w:color="000000"/>
            </w:tcBorders>
          </w:tcPr>
          <w:p w14:paraId="70965EEE" w14:textId="1B5856BE"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32,551</w:t>
            </w:r>
          </w:p>
        </w:tc>
      </w:tr>
      <w:tr w:rsidR="00736454" w:rsidRPr="00F97CB0" w14:paraId="4FA1DFFE"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3CD42621" w14:textId="0DD60D10"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Nova banka a.d., Banjaluka</w:t>
            </w:r>
          </w:p>
        </w:tc>
        <w:tc>
          <w:tcPr>
            <w:tcW w:w="1560" w:type="dxa"/>
            <w:tcBorders>
              <w:top w:val="single" w:sz="8" w:space="0" w:color="000000"/>
              <w:left w:val="single" w:sz="8" w:space="0" w:color="000000"/>
              <w:bottom w:val="single" w:sz="8" w:space="0" w:color="000000"/>
              <w:right w:val="single" w:sz="8" w:space="0" w:color="000000"/>
            </w:tcBorders>
          </w:tcPr>
          <w:p w14:paraId="31C78E11" w14:textId="270466AE"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11,905</w:t>
            </w:r>
          </w:p>
        </w:tc>
      </w:tr>
      <w:tr w:rsidR="00736454" w:rsidRPr="00F97CB0" w14:paraId="07091BD9"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101AE77F" w14:textId="67BFC759"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Beobanka a.d., Belgrade</w:t>
            </w:r>
          </w:p>
        </w:tc>
        <w:tc>
          <w:tcPr>
            <w:tcW w:w="1560" w:type="dxa"/>
            <w:tcBorders>
              <w:top w:val="single" w:sz="8" w:space="0" w:color="000000"/>
              <w:left w:val="single" w:sz="8" w:space="0" w:color="000000"/>
              <w:bottom w:val="single" w:sz="8" w:space="0" w:color="000000"/>
              <w:right w:val="single" w:sz="8" w:space="0" w:color="000000"/>
            </w:tcBorders>
          </w:tcPr>
          <w:p w14:paraId="732FACE7" w14:textId="6EE3E8C4"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6</w:t>
            </w:r>
          </w:p>
        </w:tc>
      </w:tr>
      <w:tr w:rsidR="00736454" w:rsidRPr="00F97CB0" w14:paraId="39B7FEA7" w14:textId="77777777" w:rsidTr="00882CF8">
        <w:trPr>
          <w:trHeight w:val="302"/>
        </w:trPr>
        <w:tc>
          <w:tcPr>
            <w:tcW w:w="7372" w:type="dxa"/>
            <w:tcBorders>
              <w:top w:val="single" w:sz="8" w:space="0" w:color="000000"/>
              <w:left w:val="single" w:sz="8" w:space="0" w:color="000000"/>
              <w:bottom w:val="single" w:sz="8" w:space="0" w:color="000000"/>
              <w:right w:val="single" w:sz="8" w:space="0" w:color="000000"/>
            </w:tcBorders>
          </w:tcPr>
          <w:p w14:paraId="037E061D" w14:textId="434F8570"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8" w:space="0" w:color="000000"/>
              <w:left w:val="single" w:sz="8" w:space="0" w:color="000000"/>
              <w:bottom w:val="single" w:sz="8" w:space="0" w:color="000000"/>
              <w:right w:val="single" w:sz="8" w:space="0" w:color="000000"/>
            </w:tcBorders>
          </w:tcPr>
          <w:p w14:paraId="14BD3571" w14:textId="386592F3" w:rsidR="00736454" w:rsidRPr="00F97CB0" w:rsidRDefault="00736454" w:rsidP="0035532B">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44,462</w:t>
            </w:r>
          </w:p>
        </w:tc>
      </w:tr>
    </w:tbl>
    <w:p w14:paraId="26B48EA4" w14:textId="6186C62B" w:rsidR="00736454" w:rsidRPr="00F97CB0" w:rsidRDefault="00263DAC" w:rsidP="00610346">
      <w:pPr>
        <w:spacing w:after="0"/>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51EE26F7" w14:textId="77777777" w:rsidR="00FF4D07" w:rsidRPr="00F97CB0" w:rsidRDefault="00FF4D07" w:rsidP="00610346">
      <w:pPr>
        <w:spacing w:after="0"/>
        <w:jc w:val="both"/>
        <w:rPr>
          <w:rFonts w:ascii="Times New Roman" w:eastAsia="Times New Roman" w:hAnsi="Times New Roman" w:cs="Times New Roman"/>
          <w:color w:val="000000"/>
          <w:sz w:val="24"/>
        </w:rPr>
      </w:pPr>
    </w:p>
    <w:p w14:paraId="2599972D" w14:textId="77777777" w:rsidR="00722812" w:rsidRPr="00F97CB0" w:rsidRDefault="00722812" w:rsidP="00641CA1">
      <w:pPr>
        <w:rPr>
          <w:rFonts w:ascii="Times New Roman" w:hAnsi="Times New Roman" w:cs="Times New Roman"/>
          <w:b/>
          <w:sz w:val="24"/>
          <w:szCs w:val="24"/>
        </w:rPr>
      </w:pPr>
    </w:p>
    <w:p w14:paraId="77D0EC7C" w14:textId="5CBEE6F0" w:rsidR="00736454" w:rsidRPr="00F97CB0" w:rsidRDefault="00736454" w:rsidP="00641CA1">
      <w:pPr>
        <w:rPr>
          <w:rFonts w:ascii="Times New Roman" w:hAnsi="Times New Roman" w:cs="Times New Roman"/>
          <w:b/>
          <w:sz w:val="24"/>
          <w:szCs w:val="24"/>
        </w:rPr>
      </w:pPr>
      <w:r w:rsidRPr="00F97CB0">
        <w:rPr>
          <w:rFonts w:ascii="Times New Roman" w:hAnsi="Times New Roman"/>
          <w:b/>
          <w:sz w:val="24"/>
        </w:rPr>
        <w:t>5.1.10. Value-added tax</w:t>
      </w:r>
    </w:p>
    <w:p w14:paraId="0C20A859" w14:textId="22AE6972" w:rsidR="00736454" w:rsidRPr="00F97CB0" w:rsidRDefault="00736454" w:rsidP="001F17BD">
      <w:pPr>
        <w:spacing w:after="23"/>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Value added tax is shown in the following table:</w:t>
      </w:r>
    </w:p>
    <w:p w14:paraId="5BE706A4" w14:textId="36F83FB3" w:rsidR="00736454" w:rsidRPr="00F97CB0" w:rsidRDefault="00736454" w:rsidP="00610346">
      <w:pPr>
        <w:spacing w:after="15"/>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 </w:t>
      </w:r>
    </w:p>
    <w:p w14:paraId="48F6B724" w14:textId="6E869864" w:rsidR="00736454" w:rsidRPr="00F97CB0"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29 – Value added tax – in thousands of dinars</w:t>
      </w:r>
    </w:p>
    <w:tbl>
      <w:tblPr>
        <w:tblStyle w:val="TableGrid"/>
        <w:tblW w:w="8932" w:type="dxa"/>
        <w:tblInd w:w="0" w:type="dxa"/>
        <w:tblCellMar>
          <w:top w:w="12" w:type="dxa"/>
          <w:left w:w="70" w:type="dxa"/>
          <w:bottom w:w="10" w:type="dxa"/>
          <w:right w:w="10" w:type="dxa"/>
        </w:tblCellMar>
        <w:tblLook w:val="04A0" w:firstRow="1" w:lastRow="0" w:firstColumn="1" w:lastColumn="0" w:noHBand="0" w:noVBand="1"/>
      </w:tblPr>
      <w:tblGrid>
        <w:gridCol w:w="5814"/>
        <w:gridCol w:w="1558"/>
        <w:gridCol w:w="1560"/>
      </w:tblGrid>
      <w:tr w:rsidR="00736454" w:rsidRPr="00F97CB0" w14:paraId="29888495"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3BDCB9B1" w14:textId="3C912219"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1DCC9E6F" w14:textId="774DF2C0"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4DE6C7B7" w14:textId="0466A47E" w:rsidR="00736454" w:rsidRPr="00F97CB0" w:rsidRDefault="00736454"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736454" w:rsidRPr="00F97CB0" w14:paraId="17BECBCA" w14:textId="77777777" w:rsidTr="00882CF8">
        <w:trPr>
          <w:trHeight w:val="564"/>
        </w:trPr>
        <w:tc>
          <w:tcPr>
            <w:tcW w:w="5814" w:type="dxa"/>
            <w:tcBorders>
              <w:top w:val="single" w:sz="4" w:space="0" w:color="000000"/>
              <w:left w:val="single" w:sz="4" w:space="0" w:color="000000"/>
              <w:bottom w:val="single" w:sz="4" w:space="0" w:color="000000"/>
              <w:right w:val="single" w:sz="4" w:space="0" w:color="000000"/>
            </w:tcBorders>
          </w:tcPr>
          <w:p w14:paraId="75531E72" w14:textId="26D5F6F8"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Value added tax in invoices received at the standard rate (except advances paid)</w:t>
            </w:r>
          </w:p>
        </w:tc>
        <w:tc>
          <w:tcPr>
            <w:tcW w:w="1558" w:type="dxa"/>
            <w:tcBorders>
              <w:top w:val="single" w:sz="4" w:space="0" w:color="000000"/>
              <w:left w:val="single" w:sz="4" w:space="0" w:color="000000"/>
              <w:bottom w:val="single" w:sz="4" w:space="0" w:color="000000"/>
              <w:right w:val="single" w:sz="4" w:space="0" w:color="000000"/>
            </w:tcBorders>
            <w:vAlign w:val="bottom"/>
          </w:tcPr>
          <w:p w14:paraId="10C3DED9" w14:textId="6516DA44"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255</w:t>
            </w:r>
          </w:p>
        </w:tc>
        <w:tc>
          <w:tcPr>
            <w:tcW w:w="1560" w:type="dxa"/>
            <w:tcBorders>
              <w:top w:val="single" w:sz="4" w:space="0" w:color="000000"/>
              <w:left w:val="single" w:sz="4" w:space="0" w:color="000000"/>
              <w:bottom w:val="single" w:sz="4" w:space="0" w:color="000000"/>
              <w:right w:val="single" w:sz="4" w:space="0" w:color="000000"/>
            </w:tcBorders>
            <w:vAlign w:val="bottom"/>
          </w:tcPr>
          <w:p w14:paraId="4548DFCE" w14:textId="432CE32B"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160</w:t>
            </w:r>
          </w:p>
        </w:tc>
      </w:tr>
      <w:tr w:rsidR="00736454" w:rsidRPr="00F97CB0" w14:paraId="55C30245"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0D9CB1B8" w14:textId="7970526B"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4F5A8F33" w14:textId="38C0453C"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255</w:t>
            </w:r>
          </w:p>
        </w:tc>
        <w:tc>
          <w:tcPr>
            <w:tcW w:w="1560" w:type="dxa"/>
            <w:tcBorders>
              <w:top w:val="single" w:sz="4" w:space="0" w:color="000000"/>
              <w:left w:val="single" w:sz="4" w:space="0" w:color="000000"/>
              <w:bottom w:val="single" w:sz="4" w:space="0" w:color="000000"/>
              <w:right w:val="single" w:sz="4" w:space="0" w:color="000000"/>
            </w:tcBorders>
          </w:tcPr>
          <w:p w14:paraId="60346992" w14:textId="2C13B054"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160</w:t>
            </w:r>
          </w:p>
        </w:tc>
      </w:tr>
    </w:tbl>
    <w:p w14:paraId="353AF10D" w14:textId="0A6059D7" w:rsidR="00736454" w:rsidRPr="00F97CB0" w:rsidRDefault="00736454" w:rsidP="00610346">
      <w:pPr>
        <w:spacing w:after="25"/>
        <w:jc w:val="both"/>
        <w:rPr>
          <w:rFonts w:ascii="Times New Roman" w:eastAsia="Times New Roman" w:hAnsi="Times New Roman" w:cs="Times New Roman"/>
          <w:color w:val="000000"/>
          <w:sz w:val="24"/>
        </w:rPr>
      </w:pPr>
    </w:p>
    <w:p w14:paraId="313E4D59" w14:textId="77777777" w:rsidR="00736454" w:rsidRPr="00F97CB0" w:rsidRDefault="00736454" w:rsidP="00641CA1">
      <w:pPr>
        <w:rPr>
          <w:rFonts w:ascii="Times New Roman" w:hAnsi="Times New Roman" w:cs="Times New Roman"/>
          <w:b/>
          <w:sz w:val="24"/>
          <w:szCs w:val="24"/>
        </w:rPr>
      </w:pPr>
      <w:r w:rsidRPr="00F97CB0">
        <w:rPr>
          <w:rFonts w:ascii="Times New Roman" w:hAnsi="Times New Roman"/>
          <w:b/>
          <w:sz w:val="24"/>
        </w:rPr>
        <w:t xml:space="preserve">5.1.11. Active accrual </w:t>
      </w:r>
    </w:p>
    <w:p w14:paraId="7382C2C1" w14:textId="2D633FFC" w:rsidR="00736454" w:rsidRPr="00F97CB0" w:rsidRDefault="00736454" w:rsidP="001F17BD">
      <w:pPr>
        <w:spacing w:after="18"/>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Active accruals are shown in the following table:</w:t>
      </w:r>
    </w:p>
    <w:p w14:paraId="7A766A5C" w14:textId="77777777" w:rsidR="00736454" w:rsidRPr="00F97CB0" w:rsidRDefault="00736454" w:rsidP="00610346">
      <w:pPr>
        <w:spacing w:after="10"/>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2BDB3C31" w14:textId="5788BAB7" w:rsidR="00736454" w:rsidRPr="00F97CB0" w:rsidRDefault="00736454"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30 – Active accruals – in thousands of dinars</w:t>
      </w:r>
    </w:p>
    <w:tbl>
      <w:tblPr>
        <w:tblStyle w:val="TableGrid"/>
        <w:tblW w:w="8932" w:type="dxa"/>
        <w:tblInd w:w="0" w:type="dxa"/>
        <w:tblCellMar>
          <w:top w:w="7" w:type="dxa"/>
          <w:left w:w="70" w:type="dxa"/>
          <w:right w:w="10" w:type="dxa"/>
        </w:tblCellMar>
        <w:tblLook w:val="04A0" w:firstRow="1" w:lastRow="0" w:firstColumn="1" w:lastColumn="0" w:noHBand="0" w:noVBand="1"/>
      </w:tblPr>
      <w:tblGrid>
        <w:gridCol w:w="5814"/>
        <w:gridCol w:w="1558"/>
        <w:gridCol w:w="1560"/>
      </w:tblGrid>
      <w:tr w:rsidR="00736454" w:rsidRPr="00F97CB0" w14:paraId="1BA96E97"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14A0E584" w14:textId="539A66D6"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58" w:type="dxa"/>
            <w:tcBorders>
              <w:top w:val="single" w:sz="4" w:space="0" w:color="000000"/>
              <w:left w:val="single" w:sz="4" w:space="0" w:color="000000"/>
              <w:bottom w:val="single" w:sz="4" w:space="0" w:color="000000"/>
              <w:right w:val="single" w:sz="4" w:space="0" w:color="000000"/>
            </w:tcBorders>
          </w:tcPr>
          <w:p w14:paraId="7B91B7E4" w14:textId="2CEDAE46" w:rsidR="00736454" w:rsidRPr="00F97CB0" w:rsidRDefault="00736454"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560" w:type="dxa"/>
            <w:tcBorders>
              <w:top w:val="single" w:sz="4" w:space="0" w:color="000000"/>
              <w:left w:val="single" w:sz="4" w:space="0" w:color="000000"/>
              <w:bottom w:val="single" w:sz="4" w:space="0" w:color="000000"/>
              <w:right w:val="single" w:sz="4" w:space="0" w:color="000000"/>
            </w:tcBorders>
          </w:tcPr>
          <w:p w14:paraId="204895D9" w14:textId="354370DF" w:rsidR="00736454" w:rsidRPr="00F97CB0" w:rsidRDefault="00736454"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736454" w:rsidRPr="00F97CB0" w14:paraId="6C53EDFC"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4E0458A4" w14:textId="6567F3BC"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Prepaid expenses</w:t>
            </w:r>
          </w:p>
        </w:tc>
        <w:tc>
          <w:tcPr>
            <w:tcW w:w="1558" w:type="dxa"/>
            <w:tcBorders>
              <w:top w:val="single" w:sz="4" w:space="0" w:color="000000"/>
              <w:left w:val="single" w:sz="4" w:space="0" w:color="000000"/>
              <w:bottom w:val="single" w:sz="4" w:space="0" w:color="000000"/>
              <w:right w:val="single" w:sz="4" w:space="0" w:color="000000"/>
            </w:tcBorders>
          </w:tcPr>
          <w:p w14:paraId="17C977DA" w14:textId="336FE642"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2,589</w:t>
            </w:r>
          </w:p>
        </w:tc>
        <w:tc>
          <w:tcPr>
            <w:tcW w:w="1560" w:type="dxa"/>
            <w:tcBorders>
              <w:top w:val="single" w:sz="4" w:space="0" w:color="000000"/>
              <w:left w:val="single" w:sz="4" w:space="0" w:color="000000"/>
              <w:bottom w:val="single" w:sz="4" w:space="0" w:color="000000"/>
              <w:right w:val="single" w:sz="4" w:space="0" w:color="000000"/>
            </w:tcBorders>
          </w:tcPr>
          <w:p w14:paraId="2707ABBB" w14:textId="69B0DEEB"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2,978</w:t>
            </w:r>
          </w:p>
        </w:tc>
      </w:tr>
      <w:tr w:rsidR="00736454" w:rsidRPr="00F97CB0" w14:paraId="37FC3958" w14:textId="77777777" w:rsidTr="00882CF8">
        <w:trPr>
          <w:trHeight w:val="290"/>
        </w:trPr>
        <w:tc>
          <w:tcPr>
            <w:tcW w:w="5814" w:type="dxa"/>
            <w:tcBorders>
              <w:top w:val="single" w:sz="4" w:space="0" w:color="000000"/>
              <w:left w:val="single" w:sz="4" w:space="0" w:color="000000"/>
              <w:bottom w:val="single" w:sz="4" w:space="0" w:color="000000"/>
              <w:right w:val="single" w:sz="4" w:space="0" w:color="000000"/>
            </w:tcBorders>
          </w:tcPr>
          <w:p w14:paraId="6ADDE091" w14:textId="5FFE64E3"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Accrued expenses based on liabilities</w:t>
            </w:r>
          </w:p>
        </w:tc>
        <w:tc>
          <w:tcPr>
            <w:tcW w:w="1558" w:type="dxa"/>
            <w:tcBorders>
              <w:top w:val="single" w:sz="4" w:space="0" w:color="000000"/>
              <w:left w:val="single" w:sz="4" w:space="0" w:color="000000"/>
              <w:bottom w:val="single" w:sz="4" w:space="0" w:color="000000"/>
              <w:right w:val="single" w:sz="4" w:space="0" w:color="000000"/>
            </w:tcBorders>
          </w:tcPr>
          <w:p w14:paraId="5CFD1CFA" w14:textId="77777777" w:rsidR="00736454" w:rsidRPr="00F97CB0" w:rsidRDefault="00736454" w:rsidP="0035532B">
            <w:pPr>
              <w:jc w:val="right"/>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54D77DC" w14:textId="4164CAEB"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58</w:t>
            </w:r>
          </w:p>
        </w:tc>
      </w:tr>
      <w:tr w:rsidR="00736454" w:rsidRPr="00F97CB0" w14:paraId="6E8A5FDB" w14:textId="77777777" w:rsidTr="00882CF8">
        <w:trPr>
          <w:trHeight w:val="293"/>
        </w:trPr>
        <w:tc>
          <w:tcPr>
            <w:tcW w:w="5814" w:type="dxa"/>
            <w:tcBorders>
              <w:top w:val="single" w:sz="4" w:space="0" w:color="000000"/>
              <w:left w:val="single" w:sz="4" w:space="0" w:color="000000"/>
              <w:bottom w:val="single" w:sz="4" w:space="0" w:color="000000"/>
              <w:right w:val="single" w:sz="4" w:space="0" w:color="000000"/>
            </w:tcBorders>
          </w:tcPr>
          <w:p w14:paraId="6230B9B6" w14:textId="3D714064" w:rsidR="00736454" w:rsidRPr="00F97CB0" w:rsidRDefault="00736454"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58" w:type="dxa"/>
            <w:tcBorders>
              <w:top w:val="single" w:sz="4" w:space="0" w:color="000000"/>
              <w:left w:val="single" w:sz="4" w:space="0" w:color="000000"/>
              <w:bottom w:val="single" w:sz="4" w:space="0" w:color="000000"/>
              <w:right w:val="single" w:sz="4" w:space="0" w:color="000000"/>
            </w:tcBorders>
          </w:tcPr>
          <w:p w14:paraId="025165AB" w14:textId="66E13B67" w:rsidR="00736454" w:rsidRPr="00F97CB0" w:rsidRDefault="00736454"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2,589</w:t>
            </w:r>
          </w:p>
        </w:tc>
        <w:tc>
          <w:tcPr>
            <w:tcW w:w="1560" w:type="dxa"/>
            <w:tcBorders>
              <w:top w:val="single" w:sz="4" w:space="0" w:color="000000"/>
              <w:left w:val="single" w:sz="4" w:space="0" w:color="000000"/>
              <w:bottom w:val="single" w:sz="4" w:space="0" w:color="000000"/>
              <w:right w:val="single" w:sz="4" w:space="0" w:color="000000"/>
            </w:tcBorders>
          </w:tcPr>
          <w:p w14:paraId="07B60FD7" w14:textId="52C96247" w:rsidR="00736454" w:rsidRPr="00F97CB0" w:rsidRDefault="00736454"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3,036</w:t>
            </w:r>
          </w:p>
        </w:tc>
      </w:tr>
    </w:tbl>
    <w:p w14:paraId="4D8C4098" w14:textId="77777777" w:rsidR="00736454" w:rsidRPr="00F97CB0" w:rsidRDefault="00736454" w:rsidP="00610346">
      <w:pPr>
        <w:spacing w:after="0"/>
        <w:jc w:val="both"/>
        <w:rPr>
          <w:rFonts w:ascii="Times New Roman" w:eastAsia="Times New Roman" w:hAnsi="Times New Roman" w:cs="Times New Roman"/>
          <w:color w:val="000000"/>
          <w:sz w:val="24"/>
        </w:rPr>
      </w:pPr>
      <w:r w:rsidRPr="00F97CB0">
        <w:rPr>
          <w:rFonts w:ascii="Times New Roman" w:hAnsi="Times New Roman"/>
          <w:b/>
          <w:color w:val="000000"/>
          <w:sz w:val="24"/>
        </w:rPr>
        <w:t xml:space="preserve"> </w:t>
      </w:r>
    </w:p>
    <w:p w14:paraId="1896F571" w14:textId="12CC0D85" w:rsidR="00736454" w:rsidRPr="00F97CB0" w:rsidRDefault="00736454" w:rsidP="00494AE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Prepaid expenses are reported in the amount of 2,589 thousand dinars and relates to the transportation allowance for employees for January 2016 and insurance costs for 2016.</w:t>
      </w:r>
    </w:p>
    <w:p w14:paraId="7A8F95CC" w14:textId="77777777" w:rsidR="00736454" w:rsidRPr="00F97CB0" w:rsidRDefault="00736454" w:rsidP="00610346">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72C5B0C5" w14:textId="392F64FC" w:rsidR="00F64BC7" w:rsidRPr="00F97CB0" w:rsidRDefault="00F64BC7" w:rsidP="00641CA1">
      <w:pPr>
        <w:rPr>
          <w:rFonts w:ascii="Times New Roman" w:hAnsi="Times New Roman" w:cs="Times New Roman"/>
          <w:b/>
          <w:sz w:val="24"/>
          <w:szCs w:val="24"/>
        </w:rPr>
      </w:pPr>
      <w:r w:rsidRPr="00F97CB0">
        <w:rPr>
          <w:rFonts w:ascii="Times New Roman" w:hAnsi="Times New Roman"/>
          <w:b/>
          <w:sz w:val="24"/>
        </w:rPr>
        <w:t>5.1.12. Off-balance sheet records</w:t>
      </w:r>
    </w:p>
    <w:p w14:paraId="27850F48" w14:textId="6A41DDD4" w:rsidR="00F64BC7" w:rsidRPr="00F97CB0" w:rsidRDefault="00F64BC7" w:rsidP="001F17BD">
      <w:pPr>
        <w:spacing w:after="0"/>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Off-balance sheet records as of 31. December 2015 amounts to 38,466 thousand dinars (16,313 thousand dinars in 2014) and relates to obligations based on received guarantees, namely:</w:t>
      </w:r>
    </w:p>
    <w:p w14:paraId="36A7FEA5" w14:textId="7BE7F663" w:rsidR="00F64BC7" w:rsidRPr="00F97CB0" w:rsidRDefault="00F64BC7" w:rsidP="00610346">
      <w:pPr>
        <w:spacing w:after="8"/>
        <w:jc w:val="both"/>
        <w:rPr>
          <w:rFonts w:ascii="Times New Roman" w:eastAsia="Times New Roman" w:hAnsi="Times New Roman" w:cs="Times New Roman"/>
          <w:color w:val="000000"/>
          <w:sz w:val="24"/>
        </w:rPr>
      </w:pPr>
    </w:p>
    <w:p w14:paraId="65E0D056" w14:textId="0CE43525" w:rsidR="00F64BC7" w:rsidRPr="00F97CB0" w:rsidRDefault="00F64BC7"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31 – Off-balance sheet records – in thousands of dinars</w:t>
      </w:r>
    </w:p>
    <w:tbl>
      <w:tblPr>
        <w:tblStyle w:val="TableGrid"/>
        <w:tblW w:w="9578" w:type="dxa"/>
        <w:tblInd w:w="-108" w:type="dxa"/>
        <w:tblCellMar>
          <w:top w:w="7" w:type="dxa"/>
          <w:left w:w="106" w:type="dxa"/>
          <w:right w:w="59" w:type="dxa"/>
        </w:tblCellMar>
        <w:tblLook w:val="04A0" w:firstRow="1" w:lastRow="0" w:firstColumn="1" w:lastColumn="0" w:noHBand="0" w:noVBand="1"/>
      </w:tblPr>
      <w:tblGrid>
        <w:gridCol w:w="1197"/>
        <w:gridCol w:w="2335"/>
        <w:gridCol w:w="171"/>
        <w:gridCol w:w="1271"/>
        <w:gridCol w:w="171"/>
        <w:gridCol w:w="1258"/>
        <w:gridCol w:w="1263"/>
        <w:gridCol w:w="974"/>
        <w:gridCol w:w="938"/>
      </w:tblGrid>
      <w:tr w:rsidR="00F64BC7" w:rsidRPr="00F97CB0" w14:paraId="56341452" w14:textId="77777777" w:rsidTr="00882CF8">
        <w:trPr>
          <w:trHeight w:val="516"/>
        </w:trPr>
        <w:tc>
          <w:tcPr>
            <w:tcW w:w="1224" w:type="dxa"/>
            <w:tcBorders>
              <w:top w:val="single" w:sz="4" w:space="0" w:color="000000"/>
              <w:left w:val="single" w:sz="4" w:space="0" w:color="000000"/>
              <w:bottom w:val="single" w:sz="4" w:space="0" w:color="000000"/>
              <w:right w:val="single" w:sz="4" w:space="0" w:color="000000"/>
            </w:tcBorders>
          </w:tcPr>
          <w:p w14:paraId="7CA56F9F" w14:textId="29D7859D"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Guarantor</w:t>
            </w:r>
          </w:p>
        </w:tc>
        <w:tc>
          <w:tcPr>
            <w:tcW w:w="2429" w:type="dxa"/>
            <w:tcBorders>
              <w:top w:val="single" w:sz="4" w:space="0" w:color="000000"/>
              <w:left w:val="single" w:sz="4" w:space="0" w:color="000000"/>
              <w:bottom w:val="single" w:sz="4" w:space="0" w:color="000000"/>
              <w:right w:val="nil"/>
            </w:tcBorders>
          </w:tcPr>
          <w:p w14:paraId="71B814AE" w14:textId="4C2DA23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Issued in favor of</w:t>
            </w:r>
          </w:p>
        </w:tc>
        <w:tc>
          <w:tcPr>
            <w:tcW w:w="142" w:type="dxa"/>
            <w:tcBorders>
              <w:top w:val="single" w:sz="4" w:space="0" w:color="000000"/>
              <w:left w:val="nil"/>
              <w:bottom w:val="single" w:sz="4" w:space="0" w:color="000000"/>
              <w:right w:val="single" w:sz="4" w:space="0" w:color="000000"/>
            </w:tcBorders>
          </w:tcPr>
          <w:p w14:paraId="3DFE4309" w14:textId="77777777" w:rsidR="00F64BC7" w:rsidRPr="00F97CB0" w:rsidRDefault="00F64BC7" w:rsidP="00610346">
            <w:pPr>
              <w:jc w:val="both"/>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nil"/>
            </w:tcBorders>
          </w:tcPr>
          <w:p w14:paraId="5E5E726E" w14:textId="0DB4EB14"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Contract number</w:t>
            </w:r>
          </w:p>
        </w:tc>
        <w:tc>
          <w:tcPr>
            <w:tcW w:w="139" w:type="dxa"/>
            <w:tcBorders>
              <w:top w:val="single" w:sz="4" w:space="0" w:color="000000"/>
              <w:left w:val="nil"/>
              <w:bottom w:val="single" w:sz="4" w:space="0" w:color="000000"/>
              <w:right w:val="single" w:sz="4" w:space="0" w:color="000000"/>
            </w:tcBorders>
          </w:tcPr>
          <w:p w14:paraId="6858CEB5" w14:textId="77777777" w:rsidR="00F64BC7" w:rsidRPr="00F97CB0" w:rsidRDefault="00F64BC7" w:rsidP="00610346">
            <w:pPr>
              <w:jc w:val="both"/>
              <w:rPr>
                <w:rFonts w:ascii="Times New Roman" w:eastAsia="Times New Roman" w:hAnsi="Times New Roman" w:cs="Times New Roman"/>
                <w:color w:val="000000"/>
                <w:sz w:val="24"/>
              </w:rPr>
            </w:pPr>
          </w:p>
        </w:tc>
        <w:tc>
          <w:tcPr>
            <w:tcW w:w="1277" w:type="dxa"/>
            <w:tcBorders>
              <w:top w:val="single" w:sz="4" w:space="0" w:color="000000"/>
              <w:left w:val="single" w:sz="4" w:space="0" w:color="000000"/>
              <w:bottom w:val="single" w:sz="4" w:space="0" w:color="000000"/>
              <w:right w:val="single" w:sz="4" w:space="0" w:color="000000"/>
            </w:tcBorders>
          </w:tcPr>
          <w:p w14:paraId="31FEF369" w14:textId="70AB2299"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Contract date</w:t>
            </w:r>
          </w:p>
        </w:tc>
        <w:tc>
          <w:tcPr>
            <w:tcW w:w="1277" w:type="dxa"/>
            <w:tcBorders>
              <w:top w:val="single" w:sz="4" w:space="0" w:color="000000"/>
              <w:left w:val="single" w:sz="4" w:space="0" w:color="000000"/>
              <w:bottom w:val="single" w:sz="4" w:space="0" w:color="000000"/>
              <w:right w:val="single" w:sz="4" w:space="0" w:color="000000"/>
            </w:tcBorders>
          </w:tcPr>
          <w:p w14:paraId="1CCCCE13" w14:textId="705B3A98"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Guarantee period</w:t>
            </w:r>
          </w:p>
        </w:tc>
        <w:tc>
          <w:tcPr>
            <w:tcW w:w="991" w:type="dxa"/>
            <w:tcBorders>
              <w:top w:val="single" w:sz="4" w:space="0" w:color="000000"/>
              <w:left w:val="single" w:sz="4" w:space="0" w:color="000000"/>
              <w:bottom w:val="single" w:sz="4" w:space="0" w:color="000000"/>
              <w:right w:val="single" w:sz="4" w:space="0" w:color="000000"/>
            </w:tcBorders>
          </w:tcPr>
          <w:p w14:paraId="780A7AF4" w14:textId="76E3D286" w:rsidR="00F64BC7" w:rsidRPr="00F97CB0" w:rsidRDefault="00F64BC7" w:rsidP="00610346">
            <w:pPr>
              <w:jc w:val="both"/>
              <w:rPr>
                <w:rFonts w:ascii="Times New Roman" w:eastAsia="Times New Roman" w:hAnsi="Times New Roman" w:cs="Times New Roman"/>
                <w:color w:val="000000"/>
                <w:sz w:val="24"/>
              </w:rPr>
            </w:pPr>
            <w:r w:rsidRPr="00F97CB0">
              <w:rPr>
                <w:rFonts w:ascii="Times New Roman" w:hAnsi="Times New Roman"/>
                <w:b/>
                <w:color w:val="000000"/>
              </w:rPr>
              <w:t>In currency</w:t>
            </w:r>
          </w:p>
        </w:tc>
        <w:tc>
          <w:tcPr>
            <w:tcW w:w="821" w:type="dxa"/>
            <w:tcBorders>
              <w:top w:val="single" w:sz="4" w:space="0" w:color="000000"/>
              <w:left w:val="single" w:sz="4" w:space="0" w:color="000000"/>
              <w:bottom w:val="single" w:sz="4" w:space="0" w:color="000000"/>
              <w:right w:val="single" w:sz="4" w:space="0" w:color="000000"/>
            </w:tcBorders>
          </w:tcPr>
          <w:p w14:paraId="451BCA7E" w14:textId="1D1061E2"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Amount</w:t>
            </w:r>
          </w:p>
        </w:tc>
      </w:tr>
      <w:tr w:rsidR="00F64BC7" w:rsidRPr="00F97CB0" w14:paraId="7D02551D" w14:textId="77777777" w:rsidTr="00882CF8">
        <w:trPr>
          <w:trHeight w:val="264"/>
        </w:trPr>
        <w:tc>
          <w:tcPr>
            <w:tcW w:w="3653" w:type="dxa"/>
            <w:gridSpan w:val="2"/>
            <w:tcBorders>
              <w:top w:val="single" w:sz="4" w:space="0" w:color="000000"/>
              <w:left w:val="single" w:sz="4" w:space="0" w:color="000000"/>
              <w:bottom w:val="single" w:sz="4" w:space="0" w:color="000000"/>
              <w:right w:val="nil"/>
            </w:tcBorders>
          </w:tcPr>
          <w:p w14:paraId="26FC71BF" w14:textId="7777777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 xml:space="preserve">Received guarantees in dinars </w:t>
            </w:r>
          </w:p>
        </w:tc>
        <w:tc>
          <w:tcPr>
            <w:tcW w:w="1419" w:type="dxa"/>
            <w:gridSpan w:val="2"/>
            <w:tcBorders>
              <w:top w:val="single" w:sz="4" w:space="0" w:color="000000"/>
              <w:left w:val="nil"/>
              <w:bottom w:val="single" w:sz="4" w:space="0" w:color="000000"/>
              <w:right w:val="nil"/>
            </w:tcBorders>
          </w:tcPr>
          <w:p w14:paraId="3DA46BB4" w14:textId="77777777" w:rsidR="00F64BC7" w:rsidRPr="00F97CB0" w:rsidRDefault="00F64BC7" w:rsidP="00610346">
            <w:pPr>
              <w:jc w:val="both"/>
              <w:rPr>
                <w:rFonts w:ascii="Times New Roman" w:eastAsia="Times New Roman" w:hAnsi="Times New Roman" w:cs="Times New Roman"/>
                <w:color w:val="000000"/>
                <w:sz w:val="24"/>
              </w:rPr>
            </w:pPr>
          </w:p>
        </w:tc>
        <w:tc>
          <w:tcPr>
            <w:tcW w:w="4505" w:type="dxa"/>
            <w:gridSpan w:val="5"/>
            <w:tcBorders>
              <w:top w:val="single" w:sz="4" w:space="0" w:color="000000"/>
              <w:left w:val="nil"/>
              <w:bottom w:val="single" w:sz="4" w:space="0" w:color="000000"/>
              <w:right w:val="single" w:sz="4" w:space="0" w:color="000000"/>
            </w:tcBorders>
          </w:tcPr>
          <w:p w14:paraId="67C49E85" w14:textId="77777777" w:rsidR="00F64BC7" w:rsidRPr="00F97CB0" w:rsidRDefault="00F64BC7" w:rsidP="00610346">
            <w:pPr>
              <w:jc w:val="both"/>
              <w:rPr>
                <w:rFonts w:ascii="Times New Roman" w:eastAsia="Times New Roman" w:hAnsi="Times New Roman" w:cs="Times New Roman"/>
                <w:color w:val="000000"/>
                <w:sz w:val="24"/>
              </w:rPr>
            </w:pPr>
          </w:p>
        </w:tc>
      </w:tr>
      <w:tr w:rsidR="00F64BC7" w:rsidRPr="00F97CB0" w14:paraId="3A1FD2C3" w14:textId="77777777" w:rsidTr="00882CF8">
        <w:trPr>
          <w:trHeight w:val="905"/>
        </w:trPr>
        <w:tc>
          <w:tcPr>
            <w:tcW w:w="1224" w:type="dxa"/>
            <w:tcBorders>
              <w:top w:val="single" w:sz="4" w:space="0" w:color="000000"/>
              <w:left w:val="single" w:sz="4" w:space="0" w:color="000000"/>
              <w:bottom w:val="single" w:sz="4" w:space="0" w:color="000000"/>
              <w:right w:val="single" w:sz="4" w:space="0" w:color="000000"/>
            </w:tcBorders>
          </w:tcPr>
          <w:p w14:paraId="5D8842F4" w14:textId="1887D0AE" w:rsidR="00F64BC7" w:rsidRPr="00F97CB0" w:rsidRDefault="00F64BC7" w:rsidP="00610346">
            <w:pPr>
              <w:ind w:left="2" w:right="33"/>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9" w:type="dxa"/>
            <w:tcBorders>
              <w:top w:val="single" w:sz="4" w:space="0" w:color="000000"/>
              <w:left w:val="single" w:sz="4" w:space="0" w:color="000000"/>
              <w:bottom w:val="single" w:sz="4" w:space="0" w:color="000000"/>
              <w:right w:val="single" w:sz="4" w:space="0" w:color="000000"/>
            </w:tcBorders>
          </w:tcPr>
          <w:p w14:paraId="4F7D6993" w14:textId="01690FDD"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19480B90" w14:textId="3692357A"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GC2015/1310</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7BF06103" w14:textId="221A58E6" w:rsidR="00F64BC7" w:rsidRPr="00F97CB0" w:rsidRDefault="00F64BC7" w:rsidP="00610346">
            <w:pPr>
              <w:ind w:right="51"/>
              <w:jc w:val="both"/>
              <w:rPr>
                <w:rFonts w:ascii="Times New Roman" w:eastAsia="Times New Roman" w:hAnsi="Times New Roman" w:cs="Times New Roman"/>
                <w:color w:val="000000"/>
                <w:sz w:val="24"/>
              </w:rPr>
            </w:pPr>
            <w:r w:rsidRPr="00F97CB0">
              <w:rPr>
                <w:rFonts w:ascii="Times New Roman" w:hAnsi="Times New Roman"/>
                <w:color w:val="000000"/>
                <w:sz w:val="20"/>
              </w:rPr>
              <w:t>14 .7.2015</w:t>
            </w:r>
          </w:p>
        </w:tc>
        <w:tc>
          <w:tcPr>
            <w:tcW w:w="1277" w:type="dxa"/>
            <w:tcBorders>
              <w:top w:val="single" w:sz="4" w:space="0" w:color="000000"/>
              <w:left w:val="single" w:sz="4" w:space="0" w:color="000000"/>
              <w:bottom w:val="single" w:sz="4" w:space="0" w:color="000000"/>
              <w:right w:val="single" w:sz="4" w:space="0" w:color="000000"/>
            </w:tcBorders>
            <w:vAlign w:val="center"/>
          </w:tcPr>
          <w:p w14:paraId="4FC697CA" w14:textId="67D12ABF" w:rsidR="00F64BC7" w:rsidRPr="00F97CB0" w:rsidRDefault="00F64BC7" w:rsidP="00610346">
            <w:pPr>
              <w:ind w:right="50"/>
              <w:jc w:val="both"/>
              <w:rPr>
                <w:rFonts w:ascii="Times New Roman" w:eastAsia="Times New Roman" w:hAnsi="Times New Roman" w:cs="Times New Roman"/>
                <w:color w:val="000000"/>
                <w:sz w:val="24"/>
              </w:rPr>
            </w:pPr>
            <w:r w:rsidRPr="00F97CB0">
              <w:rPr>
                <w:rFonts w:ascii="Times New Roman" w:hAnsi="Times New Roman"/>
                <w:color w:val="000000"/>
                <w:sz w:val="20"/>
              </w:rPr>
              <w:t>8.8.2016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10BA0936" w14:textId="77777777" w:rsidR="00F64BC7" w:rsidRPr="00F97CB0" w:rsidRDefault="00F64BC7" w:rsidP="00610346">
            <w:pPr>
              <w:ind w:right="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C001483" w14:textId="5E61CE42" w:rsidR="00F64BC7" w:rsidRPr="00F97CB0" w:rsidRDefault="00F64BC7" w:rsidP="00610346">
            <w:pPr>
              <w:ind w:right="45"/>
              <w:jc w:val="both"/>
              <w:rPr>
                <w:rFonts w:ascii="Times New Roman" w:eastAsia="Times New Roman" w:hAnsi="Times New Roman" w:cs="Times New Roman"/>
                <w:color w:val="000000"/>
                <w:sz w:val="24"/>
              </w:rPr>
            </w:pPr>
            <w:r w:rsidRPr="00F97CB0">
              <w:rPr>
                <w:rFonts w:ascii="Times New Roman" w:hAnsi="Times New Roman"/>
                <w:color w:val="000000"/>
                <w:sz w:val="20"/>
              </w:rPr>
              <w:t>4,150</w:t>
            </w:r>
          </w:p>
        </w:tc>
      </w:tr>
      <w:tr w:rsidR="00F64BC7" w:rsidRPr="00F97CB0" w14:paraId="786AC108" w14:textId="77777777" w:rsidTr="00882CF8">
        <w:trPr>
          <w:trHeight w:val="929"/>
        </w:trPr>
        <w:tc>
          <w:tcPr>
            <w:tcW w:w="1224" w:type="dxa"/>
            <w:tcBorders>
              <w:top w:val="single" w:sz="4" w:space="0" w:color="000000"/>
              <w:left w:val="single" w:sz="4" w:space="0" w:color="000000"/>
              <w:bottom w:val="single" w:sz="4" w:space="0" w:color="000000"/>
              <w:right w:val="single" w:sz="4" w:space="0" w:color="000000"/>
            </w:tcBorders>
          </w:tcPr>
          <w:p w14:paraId="051EC809" w14:textId="3A43BAFA"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9" w:type="dxa"/>
            <w:tcBorders>
              <w:top w:val="single" w:sz="4" w:space="0" w:color="000000"/>
              <w:left w:val="single" w:sz="4" w:space="0" w:color="000000"/>
              <w:bottom w:val="single" w:sz="4" w:space="0" w:color="000000"/>
              <w:right w:val="single" w:sz="4" w:space="0" w:color="000000"/>
            </w:tcBorders>
          </w:tcPr>
          <w:p w14:paraId="7D20C692" w14:textId="79AF805B"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City of Belgrade </w:t>
            </w:r>
            <w:r w:rsidR="000B516B" w:rsidRPr="00F97CB0">
              <w:rPr>
                <w:rFonts w:ascii="Times New Roman" w:hAnsi="Times New Roman"/>
                <w:color w:val="000000"/>
                <w:sz w:val="20"/>
              </w:rPr>
              <w:t>–</w:t>
            </w:r>
            <w:r w:rsidR="00135CD2" w:rsidRPr="00F97CB0">
              <w:rPr>
                <w:rFonts w:ascii="Times New Roman" w:hAnsi="Times New Roman"/>
                <w:color w:val="000000"/>
                <w:sz w:val="20"/>
              </w:rPr>
              <w:t xml:space="preserve"> </w:t>
            </w:r>
            <w:r w:rsidRPr="00F97CB0">
              <w:rPr>
                <w:rFonts w:ascii="Times New Roman" w:hAnsi="Times New Roman"/>
                <w:color w:val="000000"/>
                <w:sz w:val="20"/>
              </w:rPr>
              <w:t xml:space="preserve">Secretariat for Utilities and Housing Services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6D6ECD97" w14:textId="08482EC7" w:rsidR="00F64BC7" w:rsidRPr="00F97CB0" w:rsidRDefault="00F64BC7" w:rsidP="00610346">
            <w:pPr>
              <w:ind w:left="86"/>
              <w:jc w:val="both"/>
              <w:rPr>
                <w:rFonts w:ascii="Times New Roman" w:eastAsia="Times New Roman" w:hAnsi="Times New Roman" w:cs="Times New Roman"/>
                <w:color w:val="000000"/>
                <w:sz w:val="24"/>
              </w:rPr>
            </w:pPr>
            <w:r w:rsidRPr="00F97CB0">
              <w:rPr>
                <w:rFonts w:ascii="Times New Roman" w:hAnsi="Times New Roman"/>
                <w:color w:val="000000"/>
                <w:sz w:val="20"/>
              </w:rPr>
              <w:t>GC2014/268</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4ED2121D" w14:textId="56E0C73C" w:rsidR="00F64BC7" w:rsidRPr="00F97CB0" w:rsidRDefault="00F64BC7" w:rsidP="00610346">
            <w:pPr>
              <w:ind w:right="54"/>
              <w:jc w:val="both"/>
              <w:rPr>
                <w:rFonts w:ascii="Times New Roman" w:eastAsia="Times New Roman" w:hAnsi="Times New Roman" w:cs="Times New Roman"/>
                <w:color w:val="000000"/>
                <w:sz w:val="24"/>
              </w:rPr>
            </w:pPr>
            <w:r w:rsidRPr="00F97CB0">
              <w:rPr>
                <w:rFonts w:ascii="Times New Roman" w:hAnsi="Times New Roman"/>
                <w:color w:val="000000"/>
                <w:sz w:val="20"/>
              </w:rPr>
              <w:t>12.2.2014</w:t>
            </w:r>
          </w:p>
        </w:tc>
        <w:tc>
          <w:tcPr>
            <w:tcW w:w="1277" w:type="dxa"/>
            <w:tcBorders>
              <w:top w:val="single" w:sz="4" w:space="0" w:color="000000"/>
              <w:left w:val="single" w:sz="4" w:space="0" w:color="000000"/>
              <w:bottom w:val="single" w:sz="4" w:space="0" w:color="000000"/>
              <w:right w:val="single" w:sz="4" w:space="0" w:color="000000"/>
            </w:tcBorders>
            <w:vAlign w:val="center"/>
          </w:tcPr>
          <w:p w14:paraId="6C0DD0E7" w14:textId="53ED6FA4" w:rsidR="00F64BC7" w:rsidRPr="00F97CB0" w:rsidRDefault="00F64BC7" w:rsidP="00610346">
            <w:pPr>
              <w:ind w:right="50"/>
              <w:jc w:val="both"/>
              <w:rPr>
                <w:rFonts w:ascii="Times New Roman" w:eastAsia="Times New Roman" w:hAnsi="Times New Roman" w:cs="Times New Roman"/>
                <w:color w:val="000000"/>
                <w:sz w:val="24"/>
              </w:rPr>
            </w:pPr>
            <w:r w:rsidRPr="00F97CB0">
              <w:rPr>
                <w:rFonts w:ascii="Times New Roman" w:hAnsi="Times New Roman"/>
                <w:color w:val="000000"/>
                <w:sz w:val="20"/>
              </w:rPr>
              <w:t>17.3.2016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69141D1C" w14:textId="77777777" w:rsidR="00F64BC7" w:rsidRPr="00F97CB0" w:rsidRDefault="00F64BC7" w:rsidP="00610346">
            <w:pPr>
              <w:ind w:right="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43ADAA4A" w14:textId="693290E4" w:rsidR="00F64BC7" w:rsidRPr="00F97CB0" w:rsidRDefault="00F64BC7" w:rsidP="00610346">
            <w:pPr>
              <w:ind w:right="48"/>
              <w:jc w:val="both"/>
              <w:rPr>
                <w:rFonts w:ascii="Times New Roman" w:eastAsia="Times New Roman" w:hAnsi="Times New Roman" w:cs="Times New Roman"/>
                <w:color w:val="000000"/>
                <w:sz w:val="24"/>
              </w:rPr>
            </w:pPr>
            <w:r w:rsidRPr="00F97CB0">
              <w:rPr>
                <w:rFonts w:ascii="Times New Roman" w:hAnsi="Times New Roman"/>
                <w:color w:val="000000"/>
                <w:sz w:val="20"/>
              </w:rPr>
              <w:t>282</w:t>
            </w:r>
          </w:p>
        </w:tc>
      </w:tr>
      <w:tr w:rsidR="00F64BC7" w:rsidRPr="00F97CB0" w14:paraId="50B6841A" w14:textId="77777777" w:rsidTr="00882CF8">
        <w:trPr>
          <w:trHeight w:val="701"/>
        </w:trPr>
        <w:tc>
          <w:tcPr>
            <w:tcW w:w="1224" w:type="dxa"/>
            <w:tcBorders>
              <w:top w:val="single" w:sz="4" w:space="0" w:color="000000"/>
              <w:left w:val="single" w:sz="4" w:space="0" w:color="000000"/>
              <w:bottom w:val="single" w:sz="4" w:space="0" w:color="000000"/>
              <w:right w:val="single" w:sz="4" w:space="0" w:color="000000"/>
            </w:tcBorders>
          </w:tcPr>
          <w:p w14:paraId="631D7651" w14:textId="6EB1E8FA"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lastRenderedPageBreak/>
              <w:t>Banca Intesa, joint-stock company, Belgrade</w:t>
            </w:r>
          </w:p>
        </w:tc>
        <w:tc>
          <w:tcPr>
            <w:tcW w:w="2429" w:type="dxa"/>
            <w:tcBorders>
              <w:top w:val="single" w:sz="4" w:space="0" w:color="000000"/>
              <w:left w:val="single" w:sz="4" w:space="0" w:color="000000"/>
              <w:bottom w:val="single" w:sz="4" w:space="0" w:color="000000"/>
              <w:right w:val="single" w:sz="4" w:space="0" w:color="000000"/>
            </w:tcBorders>
          </w:tcPr>
          <w:p w14:paraId="7C50F7CF" w14:textId="1F608BB0"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493FC01A" w14:textId="55DBB34F"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GC2015/1367</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2DB981AF" w14:textId="687AB0E8" w:rsidR="00F64BC7" w:rsidRPr="00F97CB0" w:rsidRDefault="00F64BC7" w:rsidP="00610346">
            <w:pPr>
              <w:ind w:right="54"/>
              <w:jc w:val="both"/>
              <w:rPr>
                <w:rFonts w:ascii="Times New Roman" w:eastAsia="Times New Roman" w:hAnsi="Times New Roman" w:cs="Times New Roman"/>
                <w:color w:val="000000"/>
                <w:sz w:val="24"/>
              </w:rPr>
            </w:pPr>
            <w:r w:rsidRPr="00F97CB0">
              <w:rPr>
                <w:rFonts w:ascii="Times New Roman" w:hAnsi="Times New Roman"/>
                <w:color w:val="000000"/>
                <w:sz w:val="20"/>
              </w:rPr>
              <w:t>21.7.2015</w:t>
            </w:r>
          </w:p>
        </w:tc>
        <w:tc>
          <w:tcPr>
            <w:tcW w:w="1277" w:type="dxa"/>
            <w:tcBorders>
              <w:top w:val="single" w:sz="4" w:space="0" w:color="000000"/>
              <w:left w:val="single" w:sz="4" w:space="0" w:color="000000"/>
              <w:bottom w:val="single" w:sz="4" w:space="0" w:color="000000"/>
              <w:right w:val="single" w:sz="4" w:space="0" w:color="000000"/>
            </w:tcBorders>
            <w:vAlign w:val="center"/>
          </w:tcPr>
          <w:p w14:paraId="40B0E10E" w14:textId="45E1964A" w:rsidR="00F64BC7" w:rsidRPr="00F97CB0" w:rsidRDefault="00F64BC7" w:rsidP="00610346">
            <w:pPr>
              <w:ind w:right="50"/>
              <w:jc w:val="both"/>
              <w:rPr>
                <w:rFonts w:ascii="Times New Roman" w:eastAsia="Times New Roman" w:hAnsi="Times New Roman" w:cs="Times New Roman"/>
                <w:color w:val="000000"/>
                <w:sz w:val="24"/>
              </w:rPr>
            </w:pPr>
            <w:r w:rsidRPr="00F97CB0">
              <w:rPr>
                <w:rFonts w:ascii="Times New Roman" w:hAnsi="Times New Roman"/>
                <w:color w:val="000000"/>
                <w:sz w:val="20"/>
              </w:rPr>
              <w:t>25.3.2016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5CB69EB1" w14:textId="77777777" w:rsidR="00F64BC7" w:rsidRPr="00F97CB0" w:rsidRDefault="00F64BC7" w:rsidP="00610346">
            <w:pPr>
              <w:ind w:right="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4F2C683" w14:textId="7A4F5ED5" w:rsidR="00F64BC7" w:rsidRPr="00F97CB0" w:rsidRDefault="00F64BC7" w:rsidP="00610346">
            <w:pPr>
              <w:ind w:right="45"/>
              <w:jc w:val="both"/>
              <w:rPr>
                <w:rFonts w:ascii="Times New Roman" w:eastAsia="Times New Roman" w:hAnsi="Times New Roman" w:cs="Times New Roman"/>
                <w:color w:val="000000"/>
                <w:sz w:val="24"/>
              </w:rPr>
            </w:pPr>
            <w:r w:rsidRPr="00F97CB0">
              <w:rPr>
                <w:rFonts w:ascii="Times New Roman" w:hAnsi="Times New Roman"/>
                <w:color w:val="000000"/>
                <w:sz w:val="20"/>
              </w:rPr>
              <w:t>2,980</w:t>
            </w:r>
          </w:p>
        </w:tc>
      </w:tr>
      <w:tr w:rsidR="00F64BC7" w:rsidRPr="00F97CB0" w14:paraId="5BAB78B5" w14:textId="77777777" w:rsidTr="00882CF8">
        <w:trPr>
          <w:trHeight w:val="698"/>
        </w:trPr>
        <w:tc>
          <w:tcPr>
            <w:tcW w:w="1224" w:type="dxa"/>
            <w:tcBorders>
              <w:top w:val="single" w:sz="4" w:space="0" w:color="000000"/>
              <w:left w:val="single" w:sz="4" w:space="0" w:color="000000"/>
              <w:bottom w:val="single" w:sz="4" w:space="0" w:color="000000"/>
              <w:right w:val="single" w:sz="4" w:space="0" w:color="000000"/>
            </w:tcBorders>
          </w:tcPr>
          <w:p w14:paraId="09E0CB52" w14:textId="5CDC25A8"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9" w:type="dxa"/>
            <w:tcBorders>
              <w:top w:val="single" w:sz="4" w:space="0" w:color="000000"/>
              <w:left w:val="single" w:sz="4" w:space="0" w:color="000000"/>
              <w:bottom w:val="single" w:sz="4" w:space="0" w:color="000000"/>
              <w:right w:val="single" w:sz="4" w:space="0" w:color="000000"/>
            </w:tcBorders>
          </w:tcPr>
          <w:p w14:paraId="0FE4C2F0" w14:textId="7A356389"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561722DD" w14:textId="5BB49C49"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GC2015/1369</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0A16288" w14:textId="7B8941F7" w:rsidR="00F64BC7" w:rsidRPr="00F97CB0" w:rsidRDefault="00F64BC7" w:rsidP="00610346">
            <w:pPr>
              <w:ind w:right="54"/>
              <w:jc w:val="both"/>
              <w:rPr>
                <w:rFonts w:ascii="Times New Roman" w:eastAsia="Times New Roman" w:hAnsi="Times New Roman" w:cs="Times New Roman"/>
                <w:color w:val="000000"/>
                <w:sz w:val="24"/>
              </w:rPr>
            </w:pPr>
            <w:r w:rsidRPr="00F97CB0">
              <w:rPr>
                <w:rFonts w:ascii="Times New Roman" w:hAnsi="Times New Roman"/>
                <w:color w:val="000000"/>
                <w:sz w:val="20"/>
              </w:rPr>
              <w:t>21.7.2015</w:t>
            </w:r>
          </w:p>
        </w:tc>
        <w:tc>
          <w:tcPr>
            <w:tcW w:w="1277" w:type="dxa"/>
            <w:tcBorders>
              <w:top w:val="single" w:sz="4" w:space="0" w:color="000000"/>
              <w:left w:val="single" w:sz="4" w:space="0" w:color="000000"/>
              <w:bottom w:val="single" w:sz="4" w:space="0" w:color="000000"/>
              <w:right w:val="single" w:sz="4" w:space="0" w:color="000000"/>
            </w:tcBorders>
            <w:vAlign w:val="center"/>
          </w:tcPr>
          <w:p w14:paraId="5A4DEAF9" w14:textId="69A86074" w:rsidR="00F64BC7" w:rsidRPr="00F97CB0" w:rsidRDefault="00F64BC7" w:rsidP="00610346">
            <w:pPr>
              <w:ind w:right="50"/>
              <w:jc w:val="both"/>
              <w:rPr>
                <w:rFonts w:ascii="Times New Roman" w:eastAsia="Times New Roman" w:hAnsi="Times New Roman" w:cs="Times New Roman"/>
                <w:color w:val="000000"/>
                <w:sz w:val="24"/>
              </w:rPr>
            </w:pPr>
            <w:r w:rsidRPr="00F97CB0">
              <w:rPr>
                <w:rFonts w:ascii="Times New Roman" w:hAnsi="Times New Roman"/>
                <w:color w:val="000000"/>
                <w:sz w:val="20"/>
              </w:rPr>
              <w:t>26.5.2016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7A3C3E0D" w14:textId="77777777" w:rsidR="00F64BC7" w:rsidRPr="00F97CB0" w:rsidRDefault="00F64BC7" w:rsidP="00610346">
            <w:pPr>
              <w:ind w:right="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742572A1" w14:textId="51F61C4C" w:rsidR="00F64BC7" w:rsidRPr="00F97CB0" w:rsidRDefault="00F64BC7" w:rsidP="00610346">
            <w:pPr>
              <w:ind w:right="46"/>
              <w:jc w:val="both"/>
              <w:rPr>
                <w:rFonts w:ascii="Times New Roman" w:eastAsia="Times New Roman" w:hAnsi="Times New Roman" w:cs="Times New Roman"/>
                <w:color w:val="000000"/>
                <w:sz w:val="24"/>
              </w:rPr>
            </w:pPr>
            <w:r w:rsidRPr="00F97CB0">
              <w:rPr>
                <w:rFonts w:ascii="Times New Roman" w:hAnsi="Times New Roman"/>
                <w:color w:val="000000"/>
                <w:sz w:val="20"/>
              </w:rPr>
              <w:t>4,763</w:t>
            </w:r>
          </w:p>
        </w:tc>
      </w:tr>
      <w:tr w:rsidR="00F64BC7" w:rsidRPr="00F97CB0" w14:paraId="26C67AA6" w14:textId="77777777" w:rsidTr="00882CF8">
        <w:trPr>
          <w:trHeight w:val="701"/>
        </w:trPr>
        <w:tc>
          <w:tcPr>
            <w:tcW w:w="1224" w:type="dxa"/>
            <w:tcBorders>
              <w:top w:val="single" w:sz="4" w:space="0" w:color="000000"/>
              <w:left w:val="single" w:sz="4" w:space="0" w:color="000000"/>
              <w:bottom w:val="single" w:sz="4" w:space="0" w:color="000000"/>
              <w:right w:val="single" w:sz="4" w:space="0" w:color="000000"/>
            </w:tcBorders>
          </w:tcPr>
          <w:p w14:paraId="01F7B8F6" w14:textId="049D8EF4"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9" w:type="dxa"/>
            <w:tcBorders>
              <w:top w:val="single" w:sz="4" w:space="0" w:color="000000"/>
              <w:left w:val="single" w:sz="4" w:space="0" w:color="000000"/>
              <w:bottom w:val="single" w:sz="4" w:space="0" w:color="000000"/>
              <w:right w:val="single" w:sz="4" w:space="0" w:color="000000"/>
            </w:tcBorders>
          </w:tcPr>
          <w:p w14:paraId="11158BB3" w14:textId="708663DC" w:rsidR="00F64BC7" w:rsidRPr="00F97CB0" w:rsidRDefault="00F64BC7" w:rsidP="00135CD2">
            <w:pPr>
              <w:spacing w:after="15"/>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Thermal power stations</w:t>
            </w:r>
            <w:r w:rsidR="00135CD2" w:rsidRPr="00F97CB0">
              <w:rPr>
                <w:rFonts w:ascii="Times New Roman" w:hAnsi="Times New Roman"/>
                <w:color w:val="000000"/>
                <w:sz w:val="20"/>
              </w:rPr>
              <w:t xml:space="preserve"> </w:t>
            </w:r>
            <w:r w:rsidRPr="00F97CB0">
              <w:rPr>
                <w:rFonts w:ascii="Times New Roman" w:hAnsi="Times New Roman"/>
                <w:color w:val="000000"/>
                <w:sz w:val="20"/>
              </w:rPr>
              <w:t>Nikola</w:t>
            </w:r>
            <w:r w:rsidR="00135CD2" w:rsidRPr="00F97CB0">
              <w:rPr>
                <w:rFonts w:ascii="Times New Roman" w:hAnsi="Times New Roman"/>
                <w:color w:val="000000"/>
                <w:sz w:val="20"/>
              </w:rPr>
              <w:t xml:space="preserve"> </w:t>
            </w:r>
            <w:r w:rsidRPr="00F97CB0">
              <w:rPr>
                <w:rFonts w:ascii="Times New Roman" w:hAnsi="Times New Roman"/>
                <w:color w:val="000000"/>
                <w:sz w:val="20"/>
              </w:rPr>
              <w:t>Tesla” d.o.o., Obrenovac</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029CF9AB" w14:textId="7913196F"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GC2015/1372</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B22CBF8" w14:textId="6CC3A8EA" w:rsidR="00F64BC7" w:rsidRPr="00F97CB0" w:rsidRDefault="00F64BC7" w:rsidP="00610346">
            <w:pPr>
              <w:ind w:right="54"/>
              <w:jc w:val="both"/>
              <w:rPr>
                <w:rFonts w:ascii="Times New Roman" w:eastAsia="Times New Roman" w:hAnsi="Times New Roman" w:cs="Times New Roman"/>
                <w:color w:val="000000"/>
                <w:sz w:val="24"/>
              </w:rPr>
            </w:pPr>
            <w:r w:rsidRPr="00F97CB0">
              <w:rPr>
                <w:rFonts w:ascii="Times New Roman" w:hAnsi="Times New Roman"/>
                <w:color w:val="000000"/>
                <w:sz w:val="20"/>
              </w:rPr>
              <w:t>21.7.2015</w:t>
            </w:r>
          </w:p>
        </w:tc>
        <w:tc>
          <w:tcPr>
            <w:tcW w:w="1277" w:type="dxa"/>
            <w:tcBorders>
              <w:top w:val="single" w:sz="4" w:space="0" w:color="000000"/>
              <w:left w:val="single" w:sz="4" w:space="0" w:color="000000"/>
              <w:bottom w:val="single" w:sz="4" w:space="0" w:color="000000"/>
              <w:right w:val="single" w:sz="4" w:space="0" w:color="000000"/>
            </w:tcBorders>
            <w:vAlign w:val="center"/>
          </w:tcPr>
          <w:p w14:paraId="60F7C16F" w14:textId="293400EF"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30.6.2016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1BC4B617" w14:textId="77777777" w:rsidR="00F64BC7" w:rsidRPr="00F97CB0" w:rsidRDefault="00F64BC7" w:rsidP="00610346">
            <w:pPr>
              <w:ind w:right="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648A4002" w14:textId="4B14A844" w:rsidR="00F64BC7" w:rsidRPr="00F97CB0" w:rsidRDefault="00F64BC7" w:rsidP="00610346">
            <w:pPr>
              <w:ind w:right="48"/>
              <w:jc w:val="both"/>
              <w:rPr>
                <w:rFonts w:ascii="Times New Roman" w:eastAsia="Times New Roman" w:hAnsi="Times New Roman" w:cs="Times New Roman"/>
                <w:color w:val="000000"/>
                <w:sz w:val="24"/>
              </w:rPr>
            </w:pPr>
            <w:r w:rsidRPr="00F97CB0">
              <w:rPr>
                <w:rFonts w:ascii="Times New Roman" w:hAnsi="Times New Roman"/>
                <w:color w:val="000000"/>
                <w:sz w:val="20"/>
              </w:rPr>
              <w:t>54</w:t>
            </w:r>
          </w:p>
        </w:tc>
      </w:tr>
      <w:tr w:rsidR="00F64BC7" w:rsidRPr="00F97CB0" w14:paraId="2E382D1B" w14:textId="77777777" w:rsidTr="00882CF8">
        <w:trPr>
          <w:trHeight w:val="470"/>
        </w:trPr>
        <w:tc>
          <w:tcPr>
            <w:tcW w:w="1224" w:type="dxa"/>
            <w:tcBorders>
              <w:top w:val="single" w:sz="4" w:space="0" w:color="000000"/>
              <w:left w:val="single" w:sz="4" w:space="0" w:color="000000"/>
              <w:bottom w:val="single" w:sz="4" w:space="0" w:color="000000"/>
              <w:right w:val="single" w:sz="4" w:space="0" w:color="000000"/>
            </w:tcBorders>
          </w:tcPr>
          <w:p w14:paraId="0E39FC6C" w14:textId="2B81CFDA"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w:t>
            </w:r>
          </w:p>
        </w:tc>
        <w:tc>
          <w:tcPr>
            <w:tcW w:w="2429" w:type="dxa"/>
            <w:tcBorders>
              <w:top w:val="single" w:sz="4" w:space="0" w:color="000000"/>
              <w:left w:val="single" w:sz="4" w:space="0" w:color="000000"/>
              <w:bottom w:val="single" w:sz="4" w:space="0" w:color="000000"/>
              <w:right w:val="single" w:sz="4" w:space="0" w:color="000000"/>
            </w:tcBorders>
          </w:tcPr>
          <w:p w14:paraId="3E93D8F8" w14:textId="0D010269" w:rsidR="00F64BC7" w:rsidRPr="00F97CB0" w:rsidRDefault="00F64BC7" w:rsidP="00135CD2">
            <w:pPr>
              <w:tabs>
                <w:tab w:val="center" w:pos="768"/>
                <w:tab w:val="right" w:pos="2265"/>
              </w:tabs>
              <w:spacing w:after="2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PE EPS Kolubara d.o.o., Lazarevac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14:paraId="48F7702B" w14:textId="72881191"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GC2014/2298</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79705CD" w14:textId="6916D1D9" w:rsidR="00F64BC7" w:rsidRPr="00F97CB0" w:rsidRDefault="00F64BC7" w:rsidP="00610346">
            <w:pPr>
              <w:ind w:right="51"/>
              <w:jc w:val="both"/>
              <w:rPr>
                <w:rFonts w:ascii="Times New Roman" w:eastAsia="Times New Roman" w:hAnsi="Times New Roman" w:cs="Times New Roman"/>
                <w:color w:val="000000"/>
                <w:sz w:val="24"/>
              </w:rPr>
            </w:pPr>
            <w:r w:rsidRPr="00F97CB0">
              <w:rPr>
                <w:rFonts w:ascii="Times New Roman" w:hAnsi="Times New Roman"/>
                <w:color w:val="000000"/>
                <w:sz w:val="20"/>
              </w:rPr>
              <w:t>13.10.2014</w:t>
            </w:r>
          </w:p>
        </w:tc>
        <w:tc>
          <w:tcPr>
            <w:tcW w:w="1277" w:type="dxa"/>
            <w:tcBorders>
              <w:top w:val="single" w:sz="4" w:space="0" w:color="000000"/>
              <w:left w:val="single" w:sz="4" w:space="0" w:color="000000"/>
              <w:bottom w:val="single" w:sz="4" w:space="0" w:color="000000"/>
              <w:right w:val="single" w:sz="4" w:space="0" w:color="000000"/>
            </w:tcBorders>
            <w:vAlign w:val="center"/>
          </w:tcPr>
          <w:p w14:paraId="57C65DB1" w14:textId="2B7D5A82"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11.4.2016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70052F6E" w14:textId="77777777" w:rsidR="00F64BC7" w:rsidRPr="00F97CB0" w:rsidRDefault="00F64BC7" w:rsidP="00610346">
            <w:pPr>
              <w:ind w:right="4"/>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 </w:t>
            </w:r>
          </w:p>
        </w:tc>
        <w:tc>
          <w:tcPr>
            <w:tcW w:w="821" w:type="dxa"/>
            <w:tcBorders>
              <w:top w:val="single" w:sz="4" w:space="0" w:color="000000"/>
              <w:left w:val="single" w:sz="4" w:space="0" w:color="000000"/>
              <w:bottom w:val="single" w:sz="4" w:space="0" w:color="000000"/>
              <w:right w:val="single" w:sz="4" w:space="0" w:color="000000"/>
            </w:tcBorders>
            <w:vAlign w:val="center"/>
          </w:tcPr>
          <w:p w14:paraId="11F990E4" w14:textId="0305FD8E" w:rsidR="00F64BC7" w:rsidRPr="00F97CB0" w:rsidRDefault="00F64BC7" w:rsidP="00610346">
            <w:pPr>
              <w:ind w:right="48"/>
              <w:jc w:val="both"/>
              <w:rPr>
                <w:rFonts w:ascii="Times New Roman" w:eastAsia="Times New Roman" w:hAnsi="Times New Roman" w:cs="Times New Roman"/>
                <w:color w:val="000000"/>
                <w:sz w:val="24"/>
              </w:rPr>
            </w:pPr>
            <w:r w:rsidRPr="00F97CB0">
              <w:rPr>
                <w:rFonts w:ascii="Times New Roman" w:hAnsi="Times New Roman"/>
                <w:color w:val="000000"/>
                <w:sz w:val="20"/>
              </w:rPr>
              <w:t>899</w:t>
            </w:r>
          </w:p>
        </w:tc>
      </w:tr>
    </w:tbl>
    <w:p w14:paraId="3C273A14" w14:textId="77777777" w:rsidR="00F64BC7" w:rsidRPr="00F97CB0" w:rsidRDefault="00F64BC7" w:rsidP="00610346">
      <w:pPr>
        <w:spacing w:after="0"/>
        <w:ind w:left="-1844" w:right="10833"/>
        <w:jc w:val="both"/>
        <w:rPr>
          <w:rFonts w:ascii="Times New Roman" w:eastAsia="Times New Roman" w:hAnsi="Times New Roman" w:cs="Times New Roman"/>
          <w:color w:val="000000"/>
          <w:sz w:val="24"/>
        </w:rPr>
      </w:pPr>
    </w:p>
    <w:tbl>
      <w:tblPr>
        <w:tblStyle w:val="TableGrid"/>
        <w:tblW w:w="9578" w:type="dxa"/>
        <w:tblInd w:w="-108" w:type="dxa"/>
        <w:tblCellMar>
          <w:top w:w="7" w:type="dxa"/>
          <w:left w:w="106" w:type="dxa"/>
          <w:right w:w="46" w:type="dxa"/>
        </w:tblCellMar>
        <w:tblLook w:val="04A0" w:firstRow="1" w:lastRow="0" w:firstColumn="1" w:lastColumn="0" w:noHBand="0" w:noVBand="1"/>
      </w:tblPr>
      <w:tblGrid>
        <w:gridCol w:w="1191"/>
        <w:gridCol w:w="2351"/>
        <w:gridCol w:w="137"/>
        <w:gridCol w:w="1276"/>
        <w:gridCol w:w="158"/>
        <w:gridCol w:w="1269"/>
        <w:gridCol w:w="1266"/>
        <w:gridCol w:w="1005"/>
        <w:gridCol w:w="925"/>
      </w:tblGrid>
      <w:tr w:rsidR="00F64BC7" w:rsidRPr="00F97CB0" w14:paraId="72BFA2AC" w14:textId="77777777" w:rsidTr="000769B2">
        <w:trPr>
          <w:trHeight w:val="516"/>
        </w:trPr>
        <w:tc>
          <w:tcPr>
            <w:tcW w:w="1217" w:type="dxa"/>
            <w:tcBorders>
              <w:top w:val="single" w:sz="4" w:space="0" w:color="000000"/>
              <w:left w:val="single" w:sz="4" w:space="0" w:color="000000"/>
              <w:bottom w:val="single" w:sz="4" w:space="0" w:color="000000"/>
              <w:right w:val="single" w:sz="4" w:space="0" w:color="000000"/>
            </w:tcBorders>
          </w:tcPr>
          <w:p w14:paraId="47EBDFDE" w14:textId="7AC631A2"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Guarantor</w:t>
            </w:r>
          </w:p>
        </w:tc>
        <w:tc>
          <w:tcPr>
            <w:tcW w:w="2565" w:type="dxa"/>
            <w:gridSpan w:val="2"/>
            <w:tcBorders>
              <w:top w:val="single" w:sz="4" w:space="0" w:color="000000"/>
              <w:left w:val="single" w:sz="4" w:space="0" w:color="000000"/>
              <w:bottom w:val="single" w:sz="4" w:space="0" w:color="000000"/>
              <w:right w:val="single" w:sz="4" w:space="0" w:color="000000"/>
            </w:tcBorders>
          </w:tcPr>
          <w:p w14:paraId="3EF80FE1" w14:textId="206B1C99"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Issued in favor of</w:t>
            </w:r>
          </w:p>
        </w:tc>
        <w:tc>
          <w:tcPr>
            <w:tcW w:w="1277" w:type="dxa"/>
            <w:tcBorders>
              <w:top w:val="single" w:sz="4" w:space="0" w:color="000000"/>
              <w:left w:val="single" w:sz="4" w:space="0" w:color="000000"/>
              <w:bottom w:val="single" w:sz="4" w:space="0" w:color="000000"/>
              <w:right w:val="nil"/>
            </w:tcBorders>
          </w:tcPr>
          <w:p w14:paraId="4D860879" w14:textId="4834E01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Contract number</w:t>
            </w:r>
          </w:p>
        </w:tc>
        <w:tc>
          <w:tcPr>
            <w:tcW w:w="158" w:type="dxa"/>
            <w:tcBorders>
              <w:top w:val="single" w:sz="4" w:space="0" w:color="000000"/>
              <w:left w:val="nil"/>
              <w:bottom w:val="single" w:sz="4" w:space="0" w:color="000000"/>
              <w:right w:val="single" w:sz="4" w:space="0" w:color="000000"/>
            </w:tcBorders>
          </w:tcPr>
          <w:p w14:paraId="29FFECB7" w14:textId="77777777" w:rsidR="00F64BC7" w:rsidRPr="00F97CB0"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tcPr>
          <w:p w14:paraId="5A28EB64" w14:textId="2F85A946"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Contract date</w:t>
            </w:r>
          </w:p>
        </w:tc>
        <w:tc>
          <w:tcPr>
            <w:tcW w:w="1275" w:type="dxa"/>
            <w:tcBorders>
              <w:top w:val="single" w:sz="4" w:space="0" w:color="000000"/>
              <w:left w:val="single" w:sz="4" w:space="0" w:color="000000"/>
              <w:bottom w:val="single" w:sz="4" w:space="0" w:color="000000"/>
              <w:right w:val="single" w:sz="4" w:space="0" w:color="000000"/>
            </w:tcBorders>
          </w:tcPr>
          <w:p w14:paraId="6EDB3D08" w14:textId="35BBB0E1"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Guarantee period</w:t>
            </w:r>
          </w:p>
        </w:tc>
        <w:tc>
          <w:tcPr>
            <w:tcW w:w="991" w:type="dxa"/>
            <w:tcBorders>
              <w:top w:val="single" w:sz="4" w:space="0" w:color="000000"/>
              <w:left w:val="single" w:sz="4" w:space="0" w:color="000000"/>
              <w:bottom w:val="single" w:sz="4" w:space="0" w:color="000000"/>
              <w:right w:val="single" w:sz="4" w:space="0" w:color="000000"/>
            </w:tcBorders>
          </w:tcPr>
          <w:p w14:paraId="6BC156B6" w14:textId="7C7D8864" w:rsidR="00F64BC7" w:rsidRPr="00F97CB0" w:rsidRDefault="00F64BC7" w:rsidP="00610346">
            <w:pPr>
              <w:jc w:val="both"/>
              <w:rPr>
                <w:rFonts w:ascii="Times New Roman" w:eastAsia="Times New Roman" w:hAnsi="Times New Roman" w:cs="Times New Roman"/>
                <w:color w:val="000000"/>
                <w:sz w:val="24"/>
              </w:rPr>
            </w:pPr>
            <w:r w:rsidRPr="00F97CB0">
              <w:rPr>
                <w:rFonts w:ascii="Times New Roman" w:hAnsi="Times New Roman"/>
                <w:b/>
                <w:color w:val="000000"/>
              </w:rPr>
              <w:t>In currency</w:t>
            </w:r>
          </w:p>
        </w:tc>
        <w:tc>
          <w:tcPr>
            <w:tcW w:w="820" w:type="dxa"/>
            <w:tcBorders>
              <w:top w:val="single" w:sz="4" w:space="0" w:color="000000"/>
              <w:left w:val="single" w:sz="4" w:space="0" w:color="000000"/>
              <w:bottom w:val="single" w:sz="4" w:space="0" w:color="000000"/>
              <w:right w:val="single" w:sz="4" w:space="0" w:color="000000"/>
            </w:tcBorders>
          </w:tcPr>
          <w:p w14:paraId="7328793A" w14:textId="76E670AA"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rPr>
              <w:t>Amount</w:t>
            </w:r>
          </w:p>
        </w:tc>
      </w:tr>
      <w:tr w:rsidR="00F64BC7" w:rsidRPr="00F97CB0" w14:paraId="4D390D82" w14:textId="77777777" w:rsidTr="000769B2">
        <w:trPr>
          <w:trHeight w:val="240"/>
        </w:trPr>
        <w:tc>
          <w:tcPr>
            <w:tcW w:w="1217" w:type="dxa"/>
            <w:tcBorders>
              <w:top w:val="single" w:sz="4" w:space="0" w:color="000000"/>
              <w:left w:val="single" w:sz="4" w:space="0" w:color="000000"/>
              <w:bottom w:val="single" w:sz="4" w:space="0" w:color="000000"/>
              <w:right w:val="single" w:sz="4" w:space="0" w:color="000000"/>
            </w:tcBorders>
          </w:tcPr>
          <w:p w14:paraId="3CD0A362" w14:textId="017D3235"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Belgrade</w:t>
            </w:r>
          </w:p>
        </w:tc>
        <w:tc>
          <w:tcPr>
            <w:tcW w:w="2424" w:type="dxa"/>
            <w:tcBorders>
              <w:top w:val="single" w:sz="4" w:space="0" w:color="000000"/>
              <w:left w:val="single" w:sz="4" w:space="0" w:color="000000"/>
              <w:bottom w:val="single" w:sz="4" w:space="0" w:color="000000"/>
              <w:right w:val="single" w:sz="4" w:space="0" w:color="000000"/>
            </w:tcBorders>
          </w:tcPr>
          <w:p w14:paraId="2B18CD08" w14:textId="77777777" w:rsidR="00F64BC7" w:rsidRPr="00F97CB0" w:rsidRDefault="00F64BC7" w:rsidP="00610346">
            <w:pPr>
              <w:jc w:val="both"/>
              <w:rPr>
                <w:rFonts w:ascii="Times New Roman" w:eastAsia="Times New Roman" w:hAnsi="Times New Roman" w:cs="Times New Roman"/>
                <w:color w:val="000000"/>
                <w:sz w:val="24"/>
              </w:rPr>
            </w:pPr>
          </w:p>
        </w:tc>
        <w:tc>
          <w:tcPr>
            <w:tcW w:w="1418" w:type="dxa"/>
            <w:gridSpan w:val="2"/>
            <w:tcBorders>
              <w:top w:val="single" w:sz="4" w:space="0" w:color="000000"/>
              <w:left w:val="single" w:sz="4" w:space="0" w:color="000000"/>
              <w:bottom w:val="single" w:sz="4" w:space="0" w:color="000000"/>
              <w:right w:val="single" w:sz="4" w:space="0" w:color="000000"/>
            </w:tcBorders>
          </w:tcPr>
          <w:p w14:paraId="717E6AFE" w14:textId="77777777" w:rsidR="00F64BC7" w:rsidRPr="00F97CB0" w:rsidRDefault="00F64BC7" w:rsidP="00610346">
            <w:pPr>
              <w:jc w:val="both"/>
              <w:rPr>
                <w:rFonts w:ascii="Times New Roman" w:eastAsia="Times New Roman" w:hAnsi="Times New Roman" w:cs="Times New Roman"/>
                <w:color w:val="000000"/>
                <w:sz w:val="24"/>
              </w:rPr>
            </w:pPr>
          </w:p>
        </w:tc>
        <w:tc>
          <w:tcPr>
            <w:tcW w:w="1433" w:type="dxa"/>
            <w:gridSpan w:val="2"/>
            <w:tcBorders>
              <w:top w:val="single" w:sz="4" w:space="0" w:color="000000"/>
              <w:left w:val="single" w:sz="4" w:space="0" w:color="000000"/>
              <w:bottom w:val="single" w:sz="4" w:space="0" w:color="000000"/>
              <w:right w:val="single" w:sz="4" w:space="0" w:color="000000"/>
            </w:tcBorders>
          </w:tcPr>
          <w:p w14:paraId="19DB903B" w14:textId="77777777" w:rsidR="00F64BC7" w:rsidRPr="00F97CB0"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tcPr>
          <w:p w14:paraId="1738E7F3" w14:textId="77777777" w:rsidR="00F64BC7" w:rsidRPr="00F97CB0" w:rsidRDefault="00F64BC7" w:rsidP="00610346">
            <w:pPr>
              <w:jc w:val="both"/>
              <w:rPr>
                <w:rFonts w:ascii="Times New Roman" w:eastAsia="Times New Roman" w:hAnsi="Times New Roman" w:cs="Times New Roman"/>
                <w:color w:val="000000"/>
                <w:sz w:val="24"/>
              </w:rPr>
            </w:pPr>
          </w:p>
        </w:tc>
        <w:tc>
          <w:tcPr>
            <w:tcW w:w="991" w:type="dxa"/>
            <w:tcBorders>
              <w:top w:val="single" w:sz="4" w:space="0" w:color="000000"/>
              <w:left w:val="single" w:sz="4" w:space="0" w:color="000000"/>
              <w:bottom w:val="single" w:sz="4" w:space="0" w:color="000000"/>
              <w:right w:val="single" w:sz="4" w:space="0" w:color="000000"/>
            </w:tcBorders>
          </w:tcPr>
          <w:p w14:paraId="7D2717CF" w14:textId="77777777" w:rsidR="00F64BC7" w:rsidRPr="00F97CB0"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5FC96BCA" w14:textId="77777777" w:rsidR="00F64BC7" w:rsidRPr="00F97CB0" w:rsidRDefault="00F64BC7" w:rsidP="00610346">
            <w:pPr>
              <w:jc w:val="both"/>
              <w:rPr>
                <w:rFonts w:ascii="Times New Roman" w:eastAsia="Times New Roman" w:hAnsi="Times New Roman" w:cs="Times New Roman"/>
                <w:color w:val="000000"/>
                <w:sz w:val="24"/>
              </w:rPr>
            </w:pPr>
          </w:p>
        </w:tc>
      </w:tr>
      <w:tr w:rsidR="00F64BC7" w:rsidRPr="00F97CB0" w14:paraId="10169879"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34E79E53" w14:textId="071691B1"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4" w:type="dxa"/>
            <w:tcBorders>
              <w:top w:val="single" w:sz="4" w:space="0" w:color="000000"/>
              <w:left w:val="single" w:sz="4" w:space="0" w:color="000000"/>
              <w:bottom w:val="single" w:sz="4" w:space="0" w:color="000000"/>
              <w:right w:val="single" w:sz="4" w:space="0" w:color="000000"/>
            </w:tcBorders>
          </w:tcPr>
          <w:p w14:paraId="1DF06983" w14:textId="160C424E" w:rsidR="00F64BC7" w:rsidRPr="00F97CB0" w:rsidRDefault="00F64BC7" w:rsidP="00135CD2">
            <w:pPr>
              <w:tabs>
                <w:tab w:val="center" w:pos="180"/>
                <w:tab w:val="center" w:pos="1233"/>
                <w:tab w:val="center" w:pos="2158"/>
              </w:tabs>
              <w:spacing w:after="23"/>
              <w:jc w:val="both"/>
              <w:rPr>
                <w:rFonts w:ascii="Times New Roman" w:eastAsia="Times New Roman" w:hAnsi="Times New Roman" w:cs="Times New Roman"/>
                <w:color w:val="000000"/>
                <w:sz w:val="24"/>
              </w:rPr>
            </w:pPr>
            <w:r w:rsidRPr="00F97CB0">
              <w:rPr>
                <w:rFonts w:ascii="Times New Roman" w:hAnsi="Times New Roman"/>
                <w:color w:val="000000"/>
              </w:rPr>
              <w:tab/>
            </w:r>
            <w:r w:rsidRPr="00F97CB0">
              <w:rPr>
                <w:rFonts w:ascii="Times New Roman" w:hAnsi="Times New Roman"/>
                <w:color w:val="000000"/>
                <w:sz w:val="20"/>
              </w:rPr>
              <w:t>PUC Vodovod i Kanalizacija</w:t>
            </w:r>
            <w:r w:rsidR="00135CD2" w:rsidRPr="00F97CB0">
              <w:rPr>
                <w:rFonts w:ascii="Times New Roman" w:hAnsi="Times New Roman"/>
                <w:color w:val="000000"/>
                <w:sz w:val="20"/>
              </w:rPr>
              <w:t>,</w:t>
            </w:r>
            <w:r w:rsidRPr="00F97CB0">
              <w:rPr>
                <w:rFonts w:ascii="Times New Roman" w:hAnsi="Times New Roman"/>
                <w:color w:val="000000"/>
                <w:sz w:val="20"/>
              </w:rPr>
              <w:t xml:space="preserve"> Novi Sad</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B0C7CB1" w14:textId="12AC0525"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GC2015/2794</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9184B53" w14:textId="7E5B612D"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30.12.2015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540E6B65" w14:textId="122A7F7B"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30.6.2016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483ADD07" w14:textId="58997501"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53E3F7F" w14:textId="3AFBC5E4" w:rsidR="00F64BC7" w:rsidRPr="00F97CB0" w:rsidRDefault="00F64BC7" w:rsidP="00610346">
            <w:pPr>
              <w:ind w:right="58"/>
              <w:jc w:val="both"/>
              <w:rPr>
                <w:rFonts w:ascii="Times New Roman" w:eastAsia="Times New Roman" w:hAnsi="Times New Roman" w:cs="Times New Roman"/>
                <w:color w:val="000000"/>
                <w:sz w:val="24"/>
              </w:rPr>
            </w:pPr>
            <w:r w:rsidRPr="00F97CB0">
              <w:rPr>
                <w:rFonts w:ascii="Times New Roman" w:hAnsi="Times New Roman"/>
                <w:color w:val="000000"/>
                <w:sz w:val="20"/>
              </w:rPr>
              <w:t>1,392</w:t>
            </w:r>
          </w:p>
        </w:tc>
      </w:tr>
      <w:tr w:rsidR="00F64BC7" w:rsidRPr="00F97CB0" w14:paraId="366E805A"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046141C" w14:textId="2E724AF3"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4" w:type="dxa"/>
            <w:tcBorders>
              <w:top w:val="single" w:sz="4" w:space="0" w:color="000000"/>
              <w:left w:val="single" w:sz="4" w:space="0" w:color="000000"/>
              <w:bottom w:val="single" w:sz="4" w:space="0" w:color="000000"/>
              <w:right w:val="single" w:sz="4" w:space="0" w:color="000000"/>
            </w:tcBorders>
          </w:tcPr>
          <w:p w14:paraId="5B7E4C0A" w14:textId="6F586D9E"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Investment and Housing Agency, Belgrade</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737FB9E" w14:textId="6C4E116A"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GC2015/1112</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59BCAA06" w14:textId="35C66950"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23.6.2015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35D388EA" w14:textId="03695C8A"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22.2.2016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0F383F98" w14:textId="1784B17B"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BEC61BD" w14:textId="67E37CDD"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510</w:t>
            </w:r>
          </w:p>
        </w:tc>
      </w:tr>
      <w:tr w:rsidR="00F64BC7" w:rsidRPr="00F97CB0" w14:paraId="320A752D"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2ECD0B07" w14:textId="71B20C30"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4" w:type="dxa"/>
            <w:tcBorders>
              <w:top w:val="single" w:sz="4" w:space="0" w:color="000000"/>
              <w:left w:val="single" w:sz="4" w:space="0" w:color="000000"/>
              <w:bottom w:val="single" w:sz="4" w:space="0" w:color="000000"/>
              <w:right w:val="single" w:sz="4" w:space="0" w:color="000000"/>
            </w:tcBorders>
          </w:tcPr>
          <w:p w14:paraId="0B2CD8F3" w14:textId="1A050408"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28B87BE" w14:textId="09FEF976"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GC2015/1364</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4DE356F8" w14:textId="282886C1" w:rsidR="00F64BC7" w:rsidRPr="00F97CB0" w:rsidRDefault="00F64BC7" w:rsidP="00610346">
            <w:pPr>
              <w:ind w:right="67"/>
              <w:jc w:val="both"/>
              <w:rPr>
                <w:rFonts w:ascii="Times New Roman" w:eastAsia="Times New Roman" w:hAnsi="Times New Roman" w:cs="Times New Roman"/>
                <w:color w:val="000000"/>
                <w:sz w:val="24"/>
              </w:rPr>
            </w:pPr>
            <w:r w:rsidRPr="00F97CB0">
              <w:rPr>
                <w:rFonts w:ascii="Times New Roman" w:hAnsi="Times New Roman"/>
                <w:color w:val="000000"/>
                <w:sz w:val="20"/>
              </w:rPr>
              <w:t>21.7.2015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258C44DB" w14:textId="7C0FDF37"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26.7.2016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113A5A75" w14:textId="22BF1491"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6ACE644" w14:textId="1D3A2911" w:rsidR="00F64BC7" w:rsidRPr="00F97CB0" w:rsidRDefault="00F64BC7" w:rsidP="00610346">
            <w:pPr>
              <w:ind w:right="58"/>
              <w:jc w:val="both"/>
              <w:rPr>
                <w:rFonts w:ascii="Times New Roman" w:eastAsia="Times New Roman" w:hAnsi="Times New Roman" w:cs="Times New Roman"/>
                <w:color w:val="000000"/>
                <w:sz w:val="24"/>
              </w:rPr>
            </w:pPr>
            <w:r w:rsidRPr="00F97CB0">
              <w:rPr>
                <w:rFonts w:ascii="Times New Roman" w:hAnsi="Times New Roman"/>
                <w:color w:val="000000"/>
                <w:sz w:val="20"/>
              </w:rPr>
              <w:t>6,440</w:t>
            </w:r>
          </w:p>
        </w:tc>
      </w:tr>
      <w:tr w:rsidR="00F64BC7" w:rsidRPr="00F97CB0" w14:paraId="221BC20C"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27A6B49F" w14:textId="4D786984"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4" w:type="dxa"/>
            <w:tcBorders>
              <w:top w:val="single" w:sz="4" w:space="0" w:color="000000"/>
              <w:left w:val="single" w:sz="4" w:space="0" w:color="000000"/>
              <w:bottom w:val="single" w:sz="4" w:space="0" w:color="000000"/>
              <w:right w:val="single" w:sz="4" w:space="0" w:color="000000"/>
            </w:tcBorders>
          </w:tcPr>
          <w:p w14:paraId="416BEE9C" w14:textId="1120D87A"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4ADAF03" w14:textId="15B4D15A"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GC2015/1363</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761FE5D8" w14:textId="3F046F24" w:rsidR="00F64BC7" w:rsidRPr="00F97CB0" w:rsidRDefault="00F64BC7" w:rsidP="00610346">
            <w:pPr>
              <w:ind w:right="67"/>
              <w:jc w:val="both"/>
              <w:rPr>
                <w:rFonts w:ascii="Times New Roman" w:eastAsia="Times New Roman" w:hAnsi="Times New Roman" w:cs="Times New Roman"/>
                <w:color w:val="000000"/>
                <w:sz w:val="24"/>
              </w:rPr>
            </w:pPr>
            <w:r w:rsidRPr="00F97CB0">
              <w:rPr>
                <w:rFonts w:ascii="Times New Roman" w:hAnsi="Times New Roman"/>
                <w:color w:val="000000"/>
                <w:sz w:val="20"/>
              </w:rPr>
              <w:t>21.7.2015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40C194EB" w14:textId="07F32CF5"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25.3.2016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5D7AC22D" w14:textId="0E3F0568"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9782B23" w14:textId="5B46318A"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970</w:t>
            </w:r>
          </w:p>
        </w:tc>
      </w:tr>
      <w:tr w:rsidR="00F64BC7" w:rsidRPr="00F97CB0" w14:paraId="12711793"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1B8F6A10" w14:textId="341D773E"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4" w:type="dxa"/>
            <w:tcBorders>
              <w:top w:val="single" w:sz="4" w:space="0" w:color="000000"/>
              <w:left w:val="single" w:sz="4" w:space="0" w:color="000000"/>
              <w:bottom w:val="single" w:sz="4" w:space="0" w:color="000000"/>
              <w:right w:val="single" w:sz="4" w:space="0" w:color="000000"/>
            </w:tcBorders>
          </w:tcPr>
          <w:p w14:paraId="67E49DC2" w14:textId="761247E9"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8851349" w14:textId="54D026FC"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GC2015/1365</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3441C25E" w14:textId="58F4B65A" w:rsidR="00F64BC7" w:rsidRPr="00F97CB0" w:rsidRDefault="00F64BC7" w:rsidP="00610346">
            <w:pPr>
              <w:ind w:right="67"/>
              <w:jc w:val="both"/>
              <w:rPr>
                <w:rFonts w:ascii="Times New Roman" w:eastAsia="Times New Roman" w:hAnsi="Times New Roman" w:cs="Times New Roman"/>
                <w:color w:val="000000"/>
                <w:sz w:val="24"/>
              </w:rPr>
            </w:pPr>
            <w:r w:rsidRPr="00F97CB0">
              <w:rPr>
                <w:rFonts w:ascii="Times New Roman" w:hAnsi="Times New Roman"/>
                <w:color w:val="000000"/>
                <w:sz w:val="20"/>
              </w:rPr>
              <w:t>21.7.2015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59CA6ABC" w14:textId="17105CBE" w:rsidR="00F64BC7" w:rsidRPr="00F97CB0" w:rsidRDefault="00F64BC7" w:rsidP="00610346">
            <w:pPr>
              <w:ind w:right="63"/>
              <w:jc w:val="both"/>
              <w:rPr>
                <w:rFonts w:ascii="Times New Roman" w:eastAsia="Times New Roman" w:hAnsi="Times New Roman" w:cs="Times New Roman"/>
                <w:color w:val="000000"/>
                <w:sz w:val="24"/>
              </w:rPr>
            </w:pPr>
            <w:r w:rsidRPr="00F97CB0">
              <w:rPr>
                <w:rFonts w:ascii="Times New Roman" w:hAnsi="Times New Roman"/>
                <w:color w:val="000000"/>
                <w:sz w:val="20"/>
              </w:rPr>
              <w:t>28.11.2016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456D9F4A" w14:textId="10970F9F"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984B06D" w14:textId="2EE75619"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1,980</w:t>
            </w:r>
          </w:p>
        </w:tc>
      </w:tr>
      <w:tr w:rsidR="00F64BC7" w:rsidRPr="00F97CB0" w14:paraId="6297682B"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61F5737F" w14:textId="07827E26"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w:t>
            </w:r>
            <w:r w:rsidR="00135CD2" w:rsidRPr="00F97CB0">
              <w:rPr>
                <w:rFonts w:ascii="Times New Roman" w:hAnsi="Times New Roman"/>
                <w:color w:val="000000"/>
                <w:sz w:val="20"/>
              </w:rPr>
              <w:t>,</w:t>
            </w:r>
            <w:r w:rsidRPr="00F97CB0">
              <w:rPr>
                <w:rFonts w:ascii="Times New Roman" w:hAnsi="Times New Roman"/>
                <w:color w:val="000000"/>
                <w:sz w:val="20"/>
              </w:rPr>
              <w:t xml:space="preserve"> Belgrade </w:t>
            </w:r>
          </w:p>
        </w:tc>
        <w:tc>
          <w:tcPr>
            <w:tcW w:w="2424" w:type="dxa"/>
            <w:tcBorders>
              <w:top w:val="single" w:sz="4" w:space="0" w:color="000000"/>
              <w:left w:val="single" w:sz="4" w:space="0" w:color="000000"/>
              <w:bottom w:val="single" w:sz="4" w:space="0" w:color="000000"/>
              <w:right w:val="single" w:sz="4" w:space="0" w:color="000000"/>
            </w:tcBorders>
          </w:tcPr>
          <w:p w14:paraId="205CB365" w14:textId="54249486"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F5ADE85" w14:textId="507481B7"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GC2015/1412</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7C1749F6" w14:textId="7F22110A" w:rsidR="00F64BC7" w:rsidRPr="00F97CB0" w:rsidRDefault="00F64BC7" w:rsidP="00610346">
            <w:pPr>
              <w:ind w:right="67"/>
              <w:jc w:val="both"/>
              <w:rPr>
                <w:rFonts w:ascii="Times New Roman" w:eastAsia="Times New Roman" w:hAnsi="Times New Roman" w:cs="Times New Roman"/>
                <w:color w:val="000000"/>
                <w:sz w:val="24"/>
              </w:rPr>
            </w:pPr>
            <w:r w:rsidRPr="00F97CB0">
              <w:rPr>
                <w:rFonts w:ascii="Times New Roman" w:hAnsi="Times New Roman"/>
                <w:color w:val="000000"/>
                <w:sz w:val="20"/>
              </w:rPr>
              <w:t>27.7.2015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247D64AB" w14:textId="69C29F2A"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1.8.2016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798BC929" w14:textId="06DE134C"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2B13052" w14:textId="7BDEC430"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2,270</w:t>
            </w:r>
          </w:p>
        </w:tc>
      </w:tr>
      <w:tr w:rsidR="00F64BC7" w:rsidRPr="00F97CB0" w14:paraId="0E86CCAF"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196C81B4" w14:textId="56D4D095"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lastRenderedPageBreak/>
              <w:t>Banca Intesa, joint-stock company, Belgrade</w:t>
            </w:r>
          </w:p>
        </w:tc>
        <w:tc>
          <w:tcPr>
            <w:tcW w:w="2424" w:type="dxa"/>
            <w:tcBorders>
              <w:top w:val="single" w:sz="4" w:space="0" w:color="000000"/>
              <w:left w:val="single" w:sz="4" w:space="0" w:color="000000"/>
              <w:bottom w:val="single" w:sz="4" w:space="0" w:color="000000"/>
              <w:right w:val="single" w:sz="4" w:space="0" w:color="000000"/>
            </w:tcBorders>
          </w:tcPr>
          <w:p w14:paraId="72B8A86F" w14:textId="19D0A87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Hydropower plants Đerdap</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22A68E" w14:textId="20A1201A"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GC2015/1410</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95C75B9" w14:textId="6453D512" w:rsidR="00F64BC7" w:rsidRPr="00F97CB0" w:rsidRDefault="00F64BC7" w:rsidP="00610346">
            <w:pPr>
              <w:ind w:right="67"/>
              <w:jc w:val="both"/>
              <w:rPr>
                <w:rFonts w:ascii="Times New Roman" w:eastAsia="Times New Roman" w:hAnsi="Times New Roman" w:cs="Times New Roman"/>
                <w:color w:val="000000"/>
                <w:sz w:val="24"/>
              </w:rPr>
            </w:pPr>
            <w:r w:rsidRPr="00F97CB0">
              <w:rPr>
                <w:rFonts w:ascii="Times New Roman" w:hAnsi="Times New Roman"/>
                <w:color w:val="000000"/>
                <w:sz w:val="20"/>
              </w:rPr>
              <w:t>27.7.2015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0B1CEF69" w14:textId="6A610CA9"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4.4.2016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70194145" w14:textId="05FAF037"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13E9E1C4" w14:textId="2C194DBD"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1,395</w:t>
            </w:r>
          </w:p>
        </w:tc>
      </w:tr>
      <w:tr w:rsidR="00F64BC7" w:rsidRPr="00F97CB0" w14:paraId="65C32CCE"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62D286DD" w14:textId="74DB91E7"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4" w:type="dxa"/>
            <w:tcBorders>
              <w:top w:val="single" w:sz="4" w:space="0" w:color="000000"/>
              <w:left w:val="single" w:sz="4" w:space="0" w:color="000000"/>
              <w:bottom w:val="single" w:sz="4" w:space="0" w:color="000000"/>
              <w:right w:val="single" w:sz="4" w:space="0" w:color="000000"/>
            </w:tcBorders>
          </w:tcPr>
          <w:p w14:paraId="56F78CD5" w14:textId="4AE23BD6" w:rsidR="00F64BC7" w:rsidRPr="00F97CB0" w:rsidRDefault="00F64BC7" w:rsidP="00135CD2">
            <w:pPr>
              <w:spacing w:after="18"/>
              <w:ind w:left="2"/>
              <w:jc w:val="both"/>
              <w:rPr>
                <w:rFonts w:ascii="Times New Roman" w:eastAsia="Times New Roman" w:hAnsi="Times New Roman" w:cs="Times New Roman"/>
                <w:color w:val="000000"/>
                <w:sz w:val="24"/>
              </w:rPr>
            </w:pPr>
            <w:r w:rsidRPr="00F97CB0">
              <w:rPr>
                <w:rFonts w:ascii="Times New Roman" w:hAnsi="Times New Roman"/>
                <w:color w:val="000000"/>
                <w:sz w:val="20"/>
              </w:rPr>
              <w:t>PE EPS Thermal power stations Nikola Tesla d.o.o., Obrenovac</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1E2AA0F" w14:textId="60593805"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GC2015/1654</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FA2E3C2" w14:textId="6C2F0EB3"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21.8.2015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470848F1" w14:textId="282F99A5"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1.6.2016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23E3199F" w14:textId="588F213C"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5A5ABAF5" w14:textId="61C81F81"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1,182</w:t>
            </w:r>
          </w:p>
        </w:tc>
      </w:tr>
      <w:tr w:rsidR="00F64BC7" w:rsidRPr="00F97CB0" w14:paraId="158FD361"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E8163ED" w14:textId="641E5B54"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Banca Intesa, joint-stock company, Belgrade </w:t>
            </w:r>
          </w:p>
        </w:tc>
        <w:tc>
          <w:tcPr>
            <w:tcW w:w="2424" w:type="dxa"/>
            <w:tcBorders>
              <w:top w:val="single" w:sz="4" w:space="0" w:color="000000"/>
              <w:left w:val="single" w:sz="4" w:space="0" w:color="000000"/>
              <w:bottom w:val="single" w:sz="4" w:space="0" w:color="000000"/>
              <w:right w:val="single" w:sz="4" w:space="0" w:color="000000"/>
            </w:tcBorders>
          </w:tcPr>
          <w:p w14:paraId="54E354C9" w14:textId="7BA29681"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Ministry of Economy</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0388D1F" w14:textId="59C708F5"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GC2015/1893</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48A9989" w14:textId="5065CB24"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17.9.2015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5430C3E2" w14:textId="6C694E10"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25.1.2016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6DD787E5" w14:textId="593B71F1"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0855162" w14:textId="556D7B84"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850</w:t>
            </w:r>
          </w:p>
        </w:tc>
      </w:tr>
      <w:tr w:rsidR="00F64BC7" w:rsidRPr="00F97CB0" w14:paraId="352AAA14" w14:textId="77777777" w:rsidTr="000769B2">
        <w:trPr>
          <w:trHeight w:val="699"/>
        </w:trPr>
        <w:tc>
          <w:tcPr>
            <w:tcW w:w="1217" w:type="dxa"/>
            <w:tcBorders>
              <w:top w:val="single" w:sz="4" w:space="0" w:color="000000"/>
              <w:left w:val="single" w:sz="4" w:space="0" w:color="000000"/>
              <w:bottom w:val="single" w:sz="4" w:space="0" w:color="000000"/>
              <w:right w:val="single" w:sz="4" w:space="0" w:color="000000"/>
            </w:tcBorders>
          </w:tcPr>
          <w:p w14:paraId="0763EF45" w14:textId="0B220F1B"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4" w:type="dxa"/>
            <w:tcBorders>
              <w:top w:val="single" w:sz="4" w:space="0" w:color="000000"/>
              <w:left w:val="single" w:sz="4" w:space="0" w:color="000000"/>
              <w:bottom w:val="single" w:sz="4" w:space="0" w:color="000000"/>
              <w:right w:val="single" w:sz="4" w:space="0" w:color="000000"/>
            </w:tcBorders>
          </w:tcPr>
          <w:p w14:paraId="54DF1379" w14:textId="34AA265F" w:rsidR="00F64BC7" w:rsidRPr="00F97CB0" w:rsidRDefault="00F64BC7" w:rsidP="00135CD2">
            <w:pPr>
              <w:spacing w:after="6"/>
              <w:ind w:left="2"/>
              <w:jc w:val="both"/>
              <w:rPr>
                <w:rFonts w:ascii="Times New Roman" w:eastAsia="Times New Roman" w:hAnsi="Times New Roman" w:cs="Times New Roman"/>
                <w:color w:val="000000"/>
                <w:sz w:val="24"/>
              </w:rPr>
            </w:pPr>
            <w:r w:rsidRPr="00F97CB0">
              <w:rPr>
                <w:rFonts w:ascii="Times New Roman" w:hAnsi="Times New Roman"/>
                <w:color w:val="000000"/>
                <w:sz w:val="20"/>
              </w:rPr>
              <w:t>Ministry Of Agriculture –</w:t>
            </w:r>
            <w:r w:rsidR="00135CD2" w:rsidRPr="00F97CB0">
              <w:rPr>
                <w:rFonts w:ascii="Times New Roman" w:hAnsi="Times New Roman"/>
                <w:color w:val="000000"/>
                <w:sz w:val="20"/>
              </w:rPr>
              <w:t xml:space="preserve"> </w:t>
            </w:r>
            <w:r w:rsidRPr="00F97CB0">
              <w:rPr>
                <w:rFonts w:ascii="Times New Roman" w:hAnsi="Times New Roman"/>
                <w:color w:val="000000"/>
                <w:sz w:val="20"/>
              </w:rPr>
              <w:t>Water Directorate</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CFAEC3E" w14:textId="43AF837C"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GC2015/2377</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145AD7D" w14:textId="7C7FDD9D"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12 .11.2015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391D5945" w14:textId="1EE49C6F"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17.2.2016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35F68322" w14:textId="33AEF00A"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4D118BBD" w14:textId="6428671E"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290</w:t>
            </w:r>
          </w:p>
        </w:tc>
      </w:tr>
      <w:tr w:rsidR="00F64BC7" w:rsidRPr="00F97CB0" w14:paraId="0C82A407"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5A38D873" w14:textId="4A512893"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4" w:type="dxa"/>
            <w:tcBorders>
              <w:top w:val="single" w:sz="4" w:space="0" w:color="000000"/>
              <w:left w:val="single" w:sz="4" w:space="0" w:color="000000"/>
              <w:bottom w:val="single" w:sz="4" w:space="0" w:color="000000"/>
              <w:right w:val="single" w:sz="4" w:space="0" w:color="000000"/>
            </w:tcBorders>
          </w:tcPr>
          <w:p w14:paraId="1D37C349" w14:textId="75701C5B" w:rsidR="00F64BC7" w:rsidRPr="00F97CB0" w:rsidRDefault="00F64BC7" w:rsidP="00135CD2">
            <w:pPr>
              <w:spacing w:after="6"/>
              <w:ind w:left="2"/>
              <w:jc w:val="both"/>
              <w:rPr>
                <w:rFonts w:ascii="Times New Roman" w:eastAsia="Times New Roman" w:hAnsi="Times New Roman" w:cs="Times New Roman"/>
                <w:color w:val="000000"/>
                <w:sz w:val="24"/>
              </w:rPr>
            </w:pPr>
            <w:r w:rsidRPr="00F97CB0">
              <w:rPr>
                <w:rFonts w:ascii="Times New Roman" w:hAnsi="Times New Roman"/>
                <w:color w:val="000000"/>
                <w:sz w:val="20"/>
              </w:rPr>
              <w:t>Ministry Of Agriculture –</w:t>
            </w:r>
            <w:r w:rsidR="00135CD2" w:rsidRPr="00F97CB0">
              <w:rPr>
                <w:rFonts w:ascii="Times New Roman" w:hAnsi="Times New Roman"/>
                <w:color w:val="000000"/>
                <w:sz w:val="20"/>
              </w:rPr>
              <w:t xml:space="preserve"> </w:t>
            </w:r>
            <w:r w:rsidRPr="00F97CB0">
              <w:rPr>
                <w:rFonts w:ascii="Times New Roman" w:hAnsi="Times New Roman"/>
                <w:color w:val="000000"/>
                <w:sz w:val="20"/>
              </w:rPr>
              <w:t>Water Directorate</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F4B84CF" w14:textId="3F53F5C7"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GC2015/2620</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0F32E95F" w14:textId="05F3FEBA"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11.12.2015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F91D8" w14:textId="43521DAC"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13.5.2016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4EFAC503" w14:textId="383A67DA"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0564F11D" w14:textId="5C4E20F2"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340</w:t>
            </w:r>
          </w:p>
        </w:tc>
      </w:tr>
      <w:tr w:rsidR="00F64BC7" w:rsidRPr="00F97CB0" w14:paraId="76B601F8"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1E01B529" w14:textId="449F9AFC"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4" w:type="dxa"/>
            <w:tcBorders>
              <w:top w:val="single" w:sz="4" w:space="0" w:color="000000"/>
              <w:left w:val="single" w:sz="4" w:space="0" w:color="000000"/>
              <w:bottom w:val="single" w:sz="4" w:space="0" w:color="000000"/>
              <w:right w:val="single" w:sz="4" w:space="0" w:color="000000"/>
            </w:tcBorders>
          </w:tcPr>
          <w:p w14:paraId="1ABF1A64" w14:textId="1C07D603" w:rsidR="00F64BC7" w:rsidRPr="00F97CB0" w:rsidRDefault="00F64BC7" w:rsidP="00135CD2">
            <w:pPr>
              <w:tabs>
                <w:tab w:val="center" w:pos="114"/>
                <w:tab w:val="center" w:pos="768"/>
                <w:tab w:val="center" w:pos="1762"/>
              </w:tabs>
              <w:spacing w:after="24"/>
              <w:jc w:val="both"/>
              <w:rPr>
                <w:rFonts w:ascii="Times New Roman" w:eastAsia="Times New Roman" w:hAnsi="Times New Roman" w:cs="Times New Roman"/>
                <w:color w:val="000000"/>
                <w:sz w:val="24"/>
              </w:rPr>
            </w:pPr>
            <w:r w:rsidRPr="00F97CB0">
              <w:rPr>
                <w:rFonts w:ascii="Times New Roman" w:hAnsi="Times New Roman"/>
                <w:color w:val="000000"/>
              </w:rPr>
              <w:tab/>
            </w:r>
            <w:r w:rsidRPr="00F97CB0">
              <w:rPr>
                <w:rFonts w:ascii="Times New Roman" w:hAnsi="Times New Roman"/>
                <w:color w:val="000000"/>
                <w:sz w:val="20"/>
              </w:rPr>
              <w:t>PE EPS Kolubara limited liability company, Lazarevac</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0643C08" w14:textId="1308A2F2"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GC2015/2795</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105FC03F" w14:textId="648964FC" w:rsidR="00F64BC7" w:rsidRPr="00F97CB0" w:rsidRDefault="00F64BC7" w:rsidP="00610346">
            <w:pPr>
              <w:ind w:right="64"/>
              <w:jc w:val="both"/>
              <w:rPr>
                <w:rFonts w:ascii="Times New Roman" w:eastAsia="Times New Roman" w:hAnsi="Times New Roman" w:cs="Times New Roman"/>
                <w:color w:val="000000"/>
                <w:sz w:val="24"/>
              </w:rPr>
            </w:pPr>
            <w:r w:rsidRPr="00F97CB0">
              <w:rPr>
                <w:rFonts w:ascii="Times New Roman" w:hAnsi="Times New Roman"/>
                <w:color w:val="000000"/>
                <w:sz w:val="20"/>
              </w:rPr>
              <w:t>30.12.2015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445EF359" w14:textId="40493709"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12.9.2016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09AA7B98" w14:textId="02B015A1"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6C543D06" w14:textId="3C52DA4D"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350</w:t>
            </w:r>
          </w:p>
        </w:tc>
      </w:tr>
      <w:tr w:rsidR="00F64BC7" w:rsidRPr="00F97CB0" w14:paraId="3D92299A"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3D03F077" w14:textId="589581A2"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424" w:type="dxa"/>
            <w:tcBorders>
              <w:top w:val="single" w:sz="4" w:space="0" w:color="000000"/>
              <w:left w:val="single" w:sz="4" w:space="0" w:color="000000"/>
              <w:bottom w:val="single" w:sz="4" w:space="0" w:color="000000"/>
              <w:right w:val="single" w:sz="4" w:space="0" w:color="000000"/>
            </w:tcBorders>
          </w:tcPr>
          <w:p w14:paraId="64371E8B" w14:textId="76FF4C4B" w:rsidR="00F64BC7" w:rsidRPr="00F97CB0" w:rsidRDefault="00F64BC7" w:rsidP="00135CD2">
            <w:pPr>
              <w:tabs>
                <w:tab w:val="center" w:pos="114"/>
                <w:tab w:val="center" w:pos="1384"/>
              </w:tabs>
              <w:spacing w:after="23"/>
              <w:jc w:val="both"/>
              <w:rPr>
                <w:rFonts w:ascii="Times New Roman" w:eastAsia="Times New Roman" w:hAnsi="Times New Roman" w:cs="Times New Roman"/>
                <w:color w:val="000000"/>
                <w:sz w:val="24"/>
              </w:rPr>
            </w:pPr>
            <w:r w:rsidRPr="00F97CB0">
              <w:rPr>
                <w:rFonts w:ascii="Times New Roman" w:hAnsi="Times New Roman"/>
                <w:color w:val="000000"/>
              </w:rPr>
              <w:tab/>
            </w:r>
            <w:r w:rsidRPr="00F97CB0">
              <w:rPr>
                <w:rFonts w:ascii="Times New Roman" w:hAnsi="Times New Roman"/>
                <w:color w:val="000000"/>
                <w:sz w:val="20"/>
              </w:rPr>
              <w:t>PE Elektroprivreda Srbije</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9BB2AF" w14:textId="4D5FD49C" w:rsidR="00F64BC7" w:rsidRPr="00F97CB0" w:rsidRDefault="00F64BC7" w:rsidP="00610346">
            <w:pPr>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GC2015/2777</w:t>
            </w:r>
          </w:p>
        </w:tc>
        <w:tc>
          <w:tcPr>
            <w:tcW w:w="1433" w:type="dxa"/>
            <w:gridSpan w:val="2"/>
            <w:tcBorders>
              <w:top w:val="single" w:sz="4" w:space="0" w:color="000000"/>
              <w:left w:val="single" w:sz="4" w:space="0" w:color="000000"/>
              <w:bottom w:val="single" w:sz="4" w:space="0" w:color="000000"/>
              <w:right w:val="single" w:sz="4" w:space="0" w:color="000000"/>
            </w:tcBorders>
            <w:vAlign w:val="center"/>
          </w:tcPr>
          <w:p w14:paraId="3D22A48A" w14:textId="0EDA3755" w:rsidR="00F64BC7" w:rsidRPr="00F97CB0" w:rsidRDefault="00F64BC7" w:rsidP="00610346">
            <w:pPr>
              <w:ind w:left="34"/>
              <w:jc w:val="both"/>
              <w:rPr>
                <w:rFonts w:ascii="Times New Roman" w:eastAsia="Times New Roman" w:hAnsi="Times New Roman" w:cs="Times New Roman"/>
                <w:color w:val="000000"/>
                <w:sz w:val="24"/>
              </w:rPr>
            </w:pPr>
            <w:r w:rsidRPr="00F97CB0">
              <w:rPr>
                <w:rFonts w:ascii="Times New Roman" w:hAnsi="Times New Roman"/>
                <w:color w:val="000000"/>
                <w:sz w:val="20"/>
              </w:rPr>
              <w:t>GC2015/2777</w:t>
            </w:r>
          </w:p>
        </w:tc>
        <w:tc>
          <w:tcPr>
            <w:tcW w:w="1275" w:type="dxa"/>
            <w:tcBorders>
              <w:top w:val="single" w:sz="4" w:space="0" w:color="000000"/>
              <w:left w:val="single" w:sz="4" w:space="0" w:color="000000"/>
              <w:bottom w:val="single" w:sz="4" w:space="0" w:color="000000"/>
              <w:right w:val="single" w:sz="4" w:space="0" w:color="000000"/>
            </w:tcBorders>
            <w:vAlign w:val="center"/>
          </w:tcPr>
          <w:p w14:paraId="750F081D" w14:textId="53D12F28"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15.3.2016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5CB73366" w14:textId="3FAD9EC1" w:rsidR="00F64BC7" w:rsidRPr="00F97CB0" w:rsidRDefault="00F64BC7" w:rsidP="00610346">
            <w:pPr>
              <w:ind w:right="17"/>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vAlign w:val="center"/>
          </w:tcPr>
          <w:p w14:paraId="7B3BBB6C" w14:textId="518D9583"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473</w:t>
            </w:r>
          </w:p>
        </w:tc>
      </w:tr>
      <w:tr w:rsidR="00F64BC7" w:rsidRPr="00F97CB0" w14:paraId="107B921E"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2B52CD17" w14:textId="3B1ED7CD"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sz w:val="20"/>
              </w:rPr>
              <w:t>Total in dinars</w:t>
            </w:r>
          </w:p>
        </w:tc>
        <w:tc>
          <w:tcPr>
            <w:tcW w:w="3699" w:type="dxa"/>
            <w:gridSpan w:val="4"/>
            <w:tcBorders>
              <w:top w:val="single" w:sz="4" w:space="0" w:color="000000"/>
              <w:left w:val="nil"/>
              <w:bottom w:val="single" w:sz="4" w:space="0" w:color="000000"/>
              <w:right w:val="single" w:sz="4" w:space="0" w:color="000000"/>
            </w:tcBorders>
          </w:tcPr>
          <w:p w14:paraId="2292C486" w14:textId="77777777" w:rsidR="00F64BC7" w:rsidRPr="00F97CB0"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738A01FF" w14:textId="1B0AF809" w:rsidR="00F64BC7" w:rsidRPr="00F97CB0" w:rsidRDefault="00F64BC7" w:rsidP="00610346">
            <w:pPr>
              <w:ind w:left="29"/>
              <w:jc w:val="both"/>
              <w:rPr>
                <w:rFonts w:ascii="Times New Roman" w:eastAsia="Times New Roman" w:hAnsi="Times New Roman" w:cs="Times New Roman"/>
                <w:color w:val="000000"/>
                <w:sz w:val="24"/>
              </w:rPr>
            </w:pPr>
            <w:r w:rsidRPr="00F97CB0">
              <w:rPr>
                <w:rFonts w:ascii="Times New Roman" w:hAnsi="Times New Roman"/>
                <w:b/>
                <w:color w:val="000000"/>
                <w:sz w:val="20"/>
              </w:rPr>
              <w:t>31,570</w:t>
            </w:r>
          </w:p>
        </w:tc>
      </w:tr>
      <w:tr w:rsidR="00F64BC7" w:rsidRPr="00F97CB0" w14:paraId="5670E249"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6FA153C0" w14:textId="2949A55F"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sz w:val="20"/>
              </w:rPr>
              <w:t>Guarantees received in currency (EUR and USD)</w:t>
            </w:r>
          </w:p>
        </w:tc>
        <w:tc>
          <w:tcPr>
            <w:tcW w:w="4519" w:type="dxa"/>
            <w:gridSpan w:val="5"/>
            <w:tcBorders>
              <w:top w:val="single" w:sz="4" w:space="0" w:color="000000"/>
              <w:left w:val="nil"/>
              <w:bottom w:val="single" w:sz="4" w:space="0" w:color="000000"/>
              <w:right w:val="single" w:sz="4" w:space="0" w:color="000000"/>
            </w:tcBorders>
          </w:tcPr>
          <w:p w14:paraId="1B16D833" w14:textId="77777777" w:rsidR="00F64BC7" w:rsidRPr="00F97CB0" w:rsidRDefault="00F64BC7" w:rsidP="00610346">
            <w:pPr>
              <w:jc w:val="both"/>
              <w:rPr>
                <w:rFonts w:ascii="Times New Roman" w:eastAsia="Times New Roman" w:hAnsi="Times New Roman" w:cs="Times New Roman"/>
                <w:color w:val="000000"/>
                <w:sz w:val="24"/>
              </w:rPr>
            </w:pPr>
          </w:p>
        </w:tc>
      </w:tr>
      <w:tr w:rsidR="00F64BC7" w:rsidRPr="00F97CB0" w14:paraId="24F5B103"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4ED487FB" w14:textId="6F5AE8AB"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565" w:type="dxa"/>
            <w:gridSpan w:val="2"/>
            <w:tcBorders>
              <w:top w:val="single" w:sz="4" w:space="0" w:color="000000"/>
              <w:left w:val="single" w:sz="4" w:space="0" w:color="000000"/>
              <w:bottom w:val="single" w:sz="4" w:space="0" w:color="000000"/>
              <w:right w:val="single" w:sz="4" w:space="0" w:color="000000"/>
            </w:tcBorders>
          </w:tcPr>
          <w:p w14:paraId="4A718518" w14:textId="0959F572"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LATVANEGRO Latvia</w:t>
            </w:r>
          </w:p>
        </w:tc>
        <w:tc>
          <w:tcPr>
            <w:tcW w:w="1277" w:type="dxa"/>
            <w:tcBorders>
              <w:top w:val="single" w:sz="4" w:space="0" w:color="000000"/>
              <w:left w:val="single" w:sz="4" w:space="0" w:color="000000"/>
              <w:bottom w:val="single" w:sz="4" w:space="0" w:color="000000"/>
              <w:right w:val="nil"/>
            </w:tcBorders>
            <w:vAlign w:val="center"/>
          </w:tcPr>
          <w:p w14:paraId="000BCC8E" w14:textId="7777777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700761- </w:t>
            </w:r>
          </w:p>
          <w:p w14:paraId="5FB3071A" w14:textId="22D0200F" w:rsidR="00F64BC7" w:rsidRPr="00F97CB0" w:rsidRDefault="00F64BC7" w:rsidP="00610346">
            <w:pPr>
              <w:ind w:left="173"/>
              <w:jc w:val="both"/>
              <w:rPr>
                <w:rFonts w:ascii="Times New Roman" w:eastAsia="Times New Roman" w:hAnsi="Times New Roman" w:cs="Times New Roman"/>
                <w:color w:val="000000"/>
                <w:sz w:val="24"/>
              </w:rPr>
            </w:pPr>
            <w:r w:rsidRPr="00F97CB0">
              <w:rPr>
                <w:rFonts w:ascii="Times New Roman" w:hAnsi="Times New Roman"/>
                <w:color w:val="000000"/>
                <w:sz w:val="20"/>
              </w:rPr>
              <w:t>006663/IB</w:t>
            </w:r>
          </w:p>
        </w:tc>
        <w:tc>
          <w:tcPr>
            <w:tcW w:w="158" w:type="dxa"/>
            <w:tcBorders>
              <w:top w:val="single" w:sz="4" w:space="0" w:color="000000"/>
              <w:left w:val="nil"/>
              <w:bottom w:val="single" w:sz="4" w:space="0" w:color="000000"/>
              <w:right w:val="single" w:sz="4" w:space="0" w:color="000000"/>
            </w:tcBorders>
          </w:tcPr>
          <w:p w14:paraId="72244E08" w14:textId="77777777" w:rsidR="00F64BC7" w:rsidRPr="00F97CB0"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5D26B5C" w14:textId="408F50B1"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30.11.2015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246D9C57" w14:textId="12040DBA"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1.12.2016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1C136915" w14:textId="52C07D28" w:rsidR="00F64BC7" w:rsidRPr="00F97CB0" w:rsidRDefault="00F64BC7" w:rsidP="00610346">
            <w:pPr>
              <w:spacing w:after="16"/>
              <w:ind w:right="68"/>
              <w:jc w:val="both"/>
              <w:rPr>
                <w:rFonts w:ascii="Times New Roman" w:eastAsia="Times New Roman" w:hAnsi="Times New Roman" w:cs="Times New Roman"/>
                <w:color w:val="000000"/>
                <w:sz w:val="24"/>
              </w:rPr>
            </w:pPr>
            <w:r w:rsidRPr="00F97CB0">
              <w:rPr>
                <w:rFonts w:ascii="Times New Roman" w:hAnsi="Times New Roman"/>
                <w:color w:val="000000"/>
                <w:sz w:val="20"/>
              </w:rPr>
              <w:t>14,500</w:t>
            </w:r>
          </w:p>
          <w:p w14:paraId="2FB31C4D" w14:textId="77777777" w:rsidR="00F64BC7" w:rsidRPr="00F97CB0" w:rsidRDefault="00F64BC7" w:rsidP="00610346">
            <w:pPr>
              <w:ind w:right="66"/>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EUR </w:t>
            </w:r>
          </w:p>
        </w:tc>
        <w:tc>
          <w:tcPr>
            <w:tcW w:w="820" w:type="dxa"/>
            <w:tcBorders>
              <w:top w:val="single" w:sz="4" w:space="0" w:color="000000"/>
              <w:left w:val="single" w:sz="4" w:space="0" w:color="000000"/>
              <w:bottom w:val="single" w:sz="4" w:space="0" w:color="000000"/>
              <w:right w:val="single" w:sz="4" w:space="0" w:color="000000"/>
            </w:tcBorders>
            <w:vAlign w:val="center"/>
          </w:tcPr>
          <w:p w14:paraId="05518F5E" w14:textId="512FE485"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1,763</w:t>
            </w:r>
          </w:p>
        </w:tc>
      </w:tr>
      <w:tr w:rsidR="00F64BC7" w:rsidRPr="00F97CB0" w14:paraId="3BAB5179" w14:textId="77777777" w:rsidTr="000769B2">
        <w:trPr>
          <w:trHeight w:val="698"/>
        </w:trPr>
        <w:tc>
          <w:tcPr>
            <w:tcW w:w="1217" w:type="dxa"/>
            <w:tcBorders>
              <w:top w:val="single" w:sz="4" w:space="0" w:color="000000"/>
              <w:left w:val="single" w:sz="4" w:space="0" w:color="000000"/>
              <w:bottom w:val="single" w:sz="4" w:space="0" w:color="000000"/>
              <w:right w:val="single" w:sz="4" w:space="0" w:color="000000"/>
            </w:tcBorders>
          </w:tcPr>
          <w:p w14:paraId="5DC5A972" w14:textId="53E0740F"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565" w:type="dxa"/>
            <w:gridSpan w:val="2"/>
            <w:tcBorders>
              <w:top w:val="single" w:sz="4" w:space="0" w:color="000000"/>
              <w:left w:val="single" w:sz="4" w:space="0" w:color="000000"/>
              <w:bottom w:val="single" w:sz="4" w:space="0" w:color="000000"/>
              <w:right w:val="single" w:sz="4" w:space="0" w:color="000000"/>
            </w:tcBorders>
          </w:tcPr>
          <w:p w14:paraId="03025B4D" w14:textId="256A92C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UNDP Serbia</w:t>
            </w:r>
          </w:p>
        </w:tc>
        <w:tc>
          <w:tcPr>
            <w:tcW w:w="1277" w:type="dxa"/>
            <w:tcBorders>
              <w:top w:val="single" w:sz="4" w:space="0" w:color="000000"/>
              <w:left w:val="single" w:sz="4" w:space="0" w:color="000000"/>
              <w:bottom w:val="single" w:sz="4" w:space="0" w:color="000000"/>
              <w:right w:val="nil"/>
            </w:tcBorders>
            <w:vAlign w:val="center"/>
          </w:tcPr>
          <w:p w14:paraId="0C755299" w14:textId="7777777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700761- </w:t>
            </w:r>
          </w:p>
          <w:p w14:paraId="0BEE5EDA" w14:textId="3F5E6186" w:rsidR="00F64BC7" w:rsidRPr="00F97CB0" w:rsidRDefault="00F64BC7" w:rsidP="00610346">
            <w:pPr>
              <w:ind w:right="51"/>
              <w:jc w:val="both"/>
              <w:rPr>
                <w:rFonts w:ascii="Times New Roman" w:eastAsia="Times New Roman" w:hAnsi="Times New Roman" w:cs="Times New Roman"/>
                <w:color w:val="000000"/>
                <w:sz w:val="24"/>
              </w:rPr>
            </w:pPr>
            <w:r w:rsidRPr="00F97CB0">
              <w:rPr>
                <w:rFonts w:ascii="Times New Roman" w:hAnsi="Times New Roman"/>
                <w:color w:val="000000"/>
                <w:sz w:val="20"/>
              </w:rPr>
              <w:t>006569/DD</w:t>
            </w:r>
          </w:p>
        </w:tc>
        <w:tc>
          <w:tcPr>
            <w:tcW w:w="158" w:type="dxa"/>
            <w:tcBorders>
              <w:top w:val="single" w:sz="4" w:space="0" w:color="000000"/>
              <w:left w:val="nil"/>
              <w:bottom w:val="single" w:sz="4" w:space="0" w:color="000000"/>
              <w:right w:val="single" w:sz="4" w:space="0" w:color="000000"/>
            </w:tcBorders>
          </w:tcPr>
          <w:p w14:paraId="52B97C32" w14:textId="77777777" w:rsidR="00F64BC7" w:rsidRPr="00F97CB0"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0DE5ECA" w14:textId="55177203"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7.8.2015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5DE7290C" w14:textId="7BDABFFB"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11.4.2016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081E9E02" w14:textId="3D8E5A2C" w:rsidR="00F64BC7" w:rsidRPr="00F97CB0" w:rsidRDefault="00F64BC7" w:rsidP="00610346">
            <w:pPr>
              <w:ind w:right="53"/>
              <w:jc w:val="both"/>
              <w:rPr>
                <w:rFonts w:ascii="Times New Roman" w:eastAsia="Times New Roman" w:hAnsi="Times New Roman" w:cs="Times New Roman"/>
                <w:color w:val="000000"/>
                <w:sz w:val="24"/>
              </w:rPr>
            </w:pPr>
            <w:r w:rsidRPr="00F97CB0">
              <w:rPr>
                <w:rFonts w:ascii="Times New Roman" w:hAnsi="Times New Roman"/>
                <w:color w:val="000000"/>
                <w:sz w:val="20"/>
              </w:rPr>
              <w:t>USD 23,212.50</w:t>
            </w:r>
          </w:p>
        </w:tc>
        <w:tc>
          <w:tcPr>
            <w:tcW w:w="820" w:type="dxa"/>
            <w:tcBorders>
              <w:top w:val="single" w:sz="4" w:space="0" w:color="000000"/>
              <w:left w:val="single" w:sz="4" w:space="0" w:color="000000"/>
              <w:bottom w:val="single" w:sz="4" w:space="0" w:color="000000"/>
              <w:right w:val="single" w:sz="4" w:space="0" w:color="000000"/>
            </w:tcBorders>
            <w:vAlign w:val="center"/>
          </w:tcPr>
          <w:p w14:paraId="19A074BE" w14:textId="162CD68F"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2,582</w:t>
            </w:r>
          </w:p>
        </w:tc>
      </w:tr>
      <w:tr w:rsidR="00F64BC7" w:rsidRPr="00F97CB0" w14:paraId="376880F3"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52D8A1F4" w14:textId="4B3FE502"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Banca Intesa, joint-stock company, Belgrade</w:t>
            </w:r>
          </w:p>
        </w:tc>
        <w:tc>
          <w:tcPr>
            <w:tcW w:w="2565" w:type="dxa"/>
            <w:gridSpan w:val="2"/>
            <w:tcBorders>
              <w:top w:val="single" w:sz="4" w:space="0" w:color="000000"/>
              <w:left w:val="single" w:sz="4" w:space="0" w:color="000000"/>
              <w:bottom w:val="single" w:sz="4" w:space="0" w:color="000000"/>
              <w:right w:val="single" w:sz="4" w:space="0" w:color="000000"/>
            </w:tcBorders>
          </w:tcPr>
          <w:p w14:paraId="5BC9E0BC" w14:textId="048DA008"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UNDP Serbia</w:t>
            </w:r>
          </w:p>
        </w:tc>
        <w:tc>
          <w:tcPr>
            <w:tcW w:w="1277" w:type="dxa"/>
            <w:tcBorders>
              <w:top w:val="single" w:sz="4" w:space="0" w:color="000000"/>
              <w:left w:val="single" w:sz="4" w:space="0" w:color="000000"/>
              <w:bottom w:val="single" w:sz="4" w:space="0" w:color="000000"/>
              <w:right w:val="nil"/>
            </w:tcBorders>
            <w:vAlign w:val="center"/>
          </w:tcPr>
          <w:p w14:paraId="6ABF76FE" w14:textId="7777777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700761- </w:t>
            </w:r>
          </w:p>
          <w:p w14:paraId="4E44E14A" w14:textId="48410E2D" w:rsidR="00F64BC7" w:rsidRPr="00F97CB0" w:rsidRDefault="00F64BC7" w:rsidP="00610346">
            <w:pPr>
              <w:ind w:right="51"/>
              <w:jc w:val="both"/>
              <w:rPr>
                <w:rFonts w:ascii="Times New Roman" w:eastAsia="Times New Roman" w:hAnsi="Times New Roman" w:cs="Times New Roman"/>
                <w:color w:val="000000"/>
                <w:sz w:val="24"/>
              </w:rPr>
            </w:pPr>
            <w:r w:rsidRPr="00F97CB0">
              <w:rPr>
                <w:rFonts w:ascii="Times New Roman" w:hAnsi="Times New Roman"/>
                <w:color w:val="000000"/>
                <w:sz w:val="20"/>
              </w:rPr>
              <w:t>006654/DD</w:t>
            </w:r>
          </w:p>
        </w:tc>
        <w:tc>
          <w:tcPr>
            <w:tcW w:w="158" w:type="dxa"/>
            <w:tcBorders>
              <w:top w:val="single" w:sz="4" w:space="0" w:color="000000"/>
              <w:left w:val="nil"/>
              <w:bottom w:val="single" w:sz="4" w:space="0" w:color="000000"/>
              <w:right w:val="single" w:sz="4" w:space="0" w:color="000000"/>
            </w:tcBorders>
          </w:tcPr>
          <w:p w14:paraId="4383A6C1" w14:textId="77777777" w:rsidR="00F64BC7" w:rsidRPr="00F97CB0"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CA10FE8" w14:textId="7F7DC383"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19.11.2015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39EC104C" w14:textId="731B5D64" w:rsidR="00F64BC7" w:rsidRPr="00F97CB0" w:rsidRDefault="00F64BC7" w:rsidP="00610346">
            <w:pPr>
              <w:ind w:right="63"/>
              <w:jc w:val="both"/>
              <w:rPr>
                <w:rFonts w:ascii="Times New Roman" w:eastAsia="Times New Roman" w:hAnsi="Times New Roman" w:cs="Times New Roman"/>
                <w:color w:val="000000"/>
                <w:sz w:val="24"/>
              </w:rPr>
            </w:pPr>
            <w:r w:rsidRPr="00F97CB0">
              <w:rPr>
                <w:rFonts w:ascii="Times New Roman" w:hAnsi="Times New Roman"/>
                <w:color w:val="000000"/>
                <w:sz w:val="20"/>
              </w:rPr>
              <w:t>15.4.2016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303A055C" w14:textId="19262061" w:rsidR="00F64BC7" w:rsidRPr="00F97CB0" w:rsidRDefault="00F64BC7" w:rsidP="00610346">
            <w:pPr>
              <w:spacing w:after="14"/>
              <w:ind w:right="69"/>
              <w:jc w:val="both"/>
              <w:rPr>
                <w:rFonts w:ascii="Times New Roman" w:eastAsia="Times New Roman" w:hAnsi="Times New Roman" w:cs="Times New Roman"/>
                <w:color w:val="000000"/>
                <w:sz w:val="24"/>
              </w:rPr>
            </w:pPr>
            <w:r w:rsidRPr="00F97CB0">
              <w:rPr>
                <w:rFonts w:ascii="Times New Roman" w:hAnsi="Times New Roman"/>
                <w:color w:val="000000"/>
                <w:sz w:val="20"/>
              </w:rPr>
              <w:t>20,430</w:t>
            </w:r>
          </w:p>
          <w:p w14:paraId="3CEC546B" w14:textId="77777777" w:rsidR="00F64BC7" w:rsidRPr="00F97CB0" w:rsidRDefault="00F64BC7" w:rsidP="00610346">
            <w:pPr>
              <w:ind w:right="65"/>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USD </w:t>
            </w:r>
          </w:p>
        </w:tc>
        <w:tc>
          <w:tcPr>
            <w:tcW w:w="820" w:type="dxa"/>
            <w:tcBorders>
              <w:top w:val="single" w:sz="4" w:space="0" w:color="000000"/>
              <w:left w:val="single" w:sz="4" w:space="0" w:color="000000"/>
              <w:bottom w:val="single" w:sz="4" w:space="0" w:color="000000"/>
              <w:right w:val="single" w:sz="4" w:space="0" w:color="000000"/>
            </w:tcBorders>
            <w:vAlign w:val="center"/>
          </w:tcPr>
          <w:p w14:paraId="516F56F9" w14:textId="6E498980"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color w:val="000000"/>
                <w:sz w:val="20"/>
              </w:rPr>
              <w:t>2,272</w:t>
            </w:r>
          </w:p>
        </w:tc>
      </w:tr>
      <w:tr w:rsidR="00F64BC7" w:rsidRPr="00F97CB0" w14:paraId="6873D9B9" w14:textId="77777777" w:rsidTr="000769B2">
        <w:trPr>
          <w:trHeight w:val="701"/>
        </w:trPr>
        <w:tc>
          <w:tcPr>
            <w:tcW w:w="1217" w:type="dxa"/>
            <w:tcBorders>
              <w:top w:val="single" w:sz="4" w:space="0" w:color="000000"/>
              <w:left w:val="single" w:sz="4" w:space="0" w:color="000000"/>
              <w:bottom w:val="single" w:sz="4" w:space="0" w:color="000000"/>
              <w:right w:val="single" w:sz="4" w:space="0" w:color="000000"/>
            </w:tcBorders>
          </w:tcPr>
          <w:p w14:paraId="7100A292" w14:textId="020DA1B8" w:rsidR="00F64BC7" w:rsidRPr="00F97CB0" w:rsidRDefault="00F64BC7" w:rsidP="00135CD2">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lastRenderedPageBreak/>
              <w:t>Banca Intesa, joint-stock company, Belgrade</w:t>
            </w:r>
          </w:p>
        </w:tc>
        <w:tc>
          <w:tcPr>
            <w:tcW w:w="2565" w:type="dxa"/>
            <w:gridSpan w:val="2"/>
            <w:tcBorders>
              <w:top w:val="single" w:sz="4" w:space="0" w:color="000000"/>
              <w:left w:val="single" w:sz="4" w:space="0" w:color="000000"/>
              <w:bottom w:val="single" w:sz="4" w:space="0" w:color="000000"/>
              <w:right w:val="single" w:sz="4" w:space="0" w:color="000000"/>
            </w:tcBorders>
          </w:tcPr>
          <w:p w14:paraId="10B32F75" w14:textId="5D505738" w:rsidR="00F64BC7" w:rsidRPr="00F97CB0" w:rsidRDefault="00F64BC7" w:rsidP="0000202F">
            <w:pPr>
              <w:spacing w:after="17"/>
              <w:ind w:left="2"/>
              <w:jc w:val="both"/>
              <w:rPr>
                <w:rFonts w:ascii="Times New Roman" w:eastAsia="Times New Roman" w:hAnsi="Times New Roman" w:cs="Times New Roman"/>
                <w:color w:val="000000"/>
                <w:sz w:val="24"/>
              </w:rPr>
            </w:pPr>
            <w:r w:rsidRPr="00F97CB0">
              <w:rPr>
                <w:rFonts w:ascii="Times New Roman" w:hAnsi="Times New Roman"/>
                <w:color w:val="000000"/>
                <w:sz w:val="20"/>
              </w:rPr>
              <w:t>Hydropower plants on Drina Višegrad</w:t>
            </w:r>
            <w:r w:rsidR="0000202F" w:rsidRPr="00F97CB0">
              <w:rPr>
                <w:rFonts w:ascii="Times New Roman" w:hAnsi="Times New Roman"/>
                <w:color w:val="000000"/>
                <w:sz w:val="20"/>
              </w:rPr>
              <w:t>,</w:t>
            </w:r>
            <w:r w:rsidRPr="00F97CB0">
              <w:rPr>
                <w:rFonts w:ascii="Times New Roman" w:hAnsi="Times New Roman"/>
                <w:color w:val="000000"/>
                <w:sz w:val="20"/>
              </w:rPr>
              <w:t xml:space="preserve"> Republika</w:t>
            </w:r>
            <w:r w:rsidR="0000202F" w:rsidRPr="00F97CB0">
              <w:rPr>
                <w:rFonts w:ascii="Times New Roman" w:hAnsi="Times New Roman"/>
                <w:color w:val="000000"/>
                <w:sz w:val="20"/>
              </w:rPr>
              <w:t xml:space="preserve"> </w:t>
            </w:r>
            <w:r w:rsidRPr="00F97CB0">
              <w:rPr>
                <w:rFonts w:ascii="Times New Roman" w:hAnsi="Times New Roman"/>
                <w:color w:val="000000"/>
                <w:sz w:val="20"/>
              </w:rPr>
              <w:t>Srpska</w:t>
            </w:r>
          </w:p>
        </w:tc>
        <w:tc>
          <w:tcPr>
            <w:tcW w:w="1277" w:type="dxa"/>
            <w:tcBorders>
              <w:top w:val="single" w:sz="4" w:space="0" w:color="000000"/>
              <w:left w:val="single" w:sz="4" w:space="0" w:color="000000"/>
              <w:bottom w:val="single" w:sz="4" w:space="0" w:color="000000"/>
              <w:right w:val="nil"/>
            </w:tcBorders>
            <w:vAlign w:val="center"/>
          </w:tcPr>
          <w:p w14:paraId="45305460" w14:textId="77777777"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color w:val="000000"/>
                <w:sz w:val="20"/>
              </w:rPr>
              <w:t xml:space="preserve">700761- </w:t>
            </w:r>
          </w:p>
          <w:p w14:paraId="6A21BB8B" w14:textId="02C9A1D4" w:rsidR="00F64BC7" w:rsidRPr="00F97CB0" w:rsidRDefault="00F64BC7" w:rsidP="00610346">
            <w:pPr>
              <w:ind w:left="185"/>
              <w:jc w:val="both"/>
              <w:rPr>
                <w:rFonts w:ascii="Times New Roman" w:eastAsia="Times New Roman" w:hAnsi="Times New Roman" w:cs="Times New Roman"/>
                <w:color w:val="000000"/>
                <w:sz w:val="24"/>
              </w:rPr>
            </w:pPr>
            <w:r w:rsidRPr="00F97CB0">
              <w:rPr>
                <w:rFonts w:ascii="Times New Roman" w:hAnsi="Times New Roman"/>
                <w:color w:val="000000"/>
                <w:sz w:val="20"/>
              </w:rPr>
              <w:t>006593/SI</w:t>
            </w:r>
          </w:p>
        </w:tc>
        <w:tc>
          <w:tcPr>
            <w:tcW w:w="158" w:type="dxa"/>
            <w:tcBorders>
              <w:top w:val="single" w:sz="4" w:space="0" w:color="000000"/>
              <w:left w:val="nil"/>
              <w:bottom w:val="single" w:sz="4" w:space="0" w:color="000000"/>
              <w:right w:val="single" w:sz="4" w:space="0" w:color="000000"/>
            </w:tcBorders>
          </w:tcPr>
          <w:p w14:paraId="2B24A714" w14:textId="77777777" w:rsidR="00F64BC7" w:rsidRPr="00F97CB0" w:rsidRDefault="00F64BC7" w:rsidP="00610346">
            <w:pPr>
              <w:jc w:val="both"/>
              <w:rPr>
                <w:rFonts w:ascii="Times New Roman" w:eastAsia="Times New Roman" w:hAnsi="Times New Roman" w:cs="Times New Roman"/>
                <w:color w:val="000000"/>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82A6D1A" w14:textId="16C28469"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7.9.2015</w:t>
            </w:r>
          </w:p>
        </w:tc>
        <w:tc>
          <w:tcPr>
            <w:tcW w:w="1275" w:type="dxa"/>
            <w:tcBorders>
              <w:top w:val="single" w:sz="4" w:space="0" w:color="000000"/>
              <w:left w:val="single" w:sz="4" w:space="0" w:color="000000"/>
              <w:bottom w:val="single" w:sz="4" w:space="0" w:color="000000"/>
              <w:right w:val="single" w:sz="4" w:space="0" w:color="000000"/>
            </w:tcBorders>
            <w:vAlign w:val="center"/>
          </w:tcPr>
          <w:p w14:paraId="4EA8592F" w14:textId="45FF6D92" w:rsidR="00F64BC7" w:rsidRPr="00F97CB0" w:rsidRDefault="00F64BC7" w:rsidP="00610346">
            <w:pPr>
              <w:ind w:left="58"/>
              <w:jc w:val="both"/>
              <w:rPr>
                <w:rFonts w:ascii="Times New Roman" w:eastAsia="Times New Roman" w:hAnsi="Times New Roman" w:cs="Times New Roman"/>
                <w:color w:val="000000"/>
                <w:sz w:val="24"/>
              </w:rPr>
            </w:pPr>
            <w:r w:rsidRPr="00F97CB0">
              <w:rPr>
                <w:rFonts w:ascii="Times New Roman" w:hAnsi="Times New Roman"/>
                <w:color w:val="000000"/>
                <w:sz w:val="20"/>
              </w:rPr>
              <w:t>11.1.2016</w:t>
            </w:r>
          </w:p>
        </w:tc>
        <w:tc>
          <w:tcPr>
            <w:tcW w:w="991" w:type="dxa"/>
            <w:tcBorders>
              <w:top w:val="single" w:sz="4" w:space="0" w:color="000000"/>
              <w:left w:val="single" w:sz="4" w:space="0" w:color="000000"/>
              <w:bottom w:val="single" w:sz="4" w:space="0" w:color="000000"/>
              <w:right w:val="single" w:sz="4" w:space="0" w:color="000000"/>
            </w:tcBorders>
            <w:vAlign w:val="center"/>
          </w:tcPr>
          <w:p w14:paraId="2B7238A4" w14:textId="77777777" w:rsidR="00F64BC7" w:rsidRPr="00F97CB0" w:rsidRDefault="00F64BC7" w:rsidP="00610346">
            <w:pPr>
              <w:spacing w:after="16"/>
              <w:ind w:left="36"/>
              <w:jc w:val="both"/>
              <w:rPr>
                <w:rFonts w:ascii="Times New Roman" w:eastAsia="Times New Roman" w:hAnsi="Times New Roman" w:cs="Times New Roman"/>
                <w:color w:val="000000"/>
                <w:sz w:val="24"/>
              </w:rPr>
            </w:pPr>
            <w:r w:rsidRPr="00F97CB0">
              <w:rPr>
                <w:rFonts w:ascii="Times New Roman" w:hAnsi="Times New Roman"/>
                <w:color w:val="000000"/>
                <w:sz w:val="20"/>
              </w:rPr>
              <w:t>2,300.81</w:t>
            </w:r>
          </w:p>
          <w:p w14:paraId="57F3B9E1" w14:textId="66B4ED45" w:rsidR="00F64BC7" w:rsidRPr="00F97CB0" w:rsidRDefault="00F64BC7" w:rsidP="00610346">
            <w:pPr>
              <w:ind w:right="66"/>
              <w:jc w:val="both"/>
              <w:rPr>
                <w:rFonts w:ascii="Times New Roman" w:eastAsia="Times New Roman" w:hAnsi="Times New Roman" w:cs="Times New Roman"/>
                <w:color w:val="000000"/>
                <w:sz w:val="24"/>
              </w:rPr>
            </w:pPr>
            <w:r w:rsidRPr="00F97CB0">
              <w:rPr>
                <w:rFonts w:ascii="Times New Roman" w:hAnsi="Times New Roman"/>
                <w:color w:val="000000"/>
                <w:sz w:val="20"/>
              </w:rPr>
              <w:t>EUR</w:t>
            </w:r>
          </w:p>
        </w:tc>
        <w:tc>
          <w:tcPr>
            <w:tcW w:w="820" w:type="dxa"/>
            <w:tcBorders>
              <w:top w:val="single" w:sz="4" w:space="0" w:color="000000"/>
              <w:left w:val="single" w:sz="4" w:space="0" w:color="000000"/>
              <w:bottom w:val="single" w:sz="4" w:space="0" w:color="000000"/>
              <w:right w:val="single" w:sz="4" w:space="0" w:color="000000"/>
            </w:tcBorders>
            <w:vAlign w:val="center"/>
          </w:tcPr>
          <w:p w14:paraId="3C2EBF76" w14:textId="2657A628" w:rsidR="00F64BC7" w:rsidRPr="00F97CB0" w:rsidRDefault="00F64BC7" w:rsidP="00610346">
            <w:pPr>
              <w:ind w:right="61"/>
              <w:jc w:val="both"/>
              <w:rPr>
                <w:rFonts w:ascii="Times New Roman" w:eastAsia="Times New Roman" w:hAnsi="Times New Roman" w:cs="Times New Roman"/>
                <w:color w:val="000000"/>
                <w:sz w:val="24"/>
              </w:rPr>
            </w:pPr>
            <w:r w:rsidRPr="00F97CB0">
              <w:rPr>
                <w:rFonts w:ascii="Times New Roman" w:hAnsi="Times New Roman"/>
                <w:color w:val="000000"/>
                <w:sz w:val="20"/>
              </w:rPr>
              <w:t>279</w:t>
            </w:r>
          </w:p>
        </w:tc>
      </w:tr>
      <w:tr w:rsidR="00F64BC7" w:rsidRPr="00F97CB0" w14:paraId="1D23A7E9"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3F746F77" w14:textId="6001B8FA"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sz w:val="20"/>
              </w:rPr>
              <w:t>Total in currency</w:t>
            </w:r>
          </w:p>
        </w:tc>
        <w:tc>
          <w:tcPr>
            <w:tcW w:w="3699" w:type="dxa"/>
            <w:gridSpan w:val="4"/>
            <w:tcBorders>
              <w:top w:val="single" w:sz="4" w:space="0" w:color="000000"/>
              <w:left w:val="nil"/>
              <w:bottom w:val="single" w:sz="4" w:space="0" w:color="000000"/>
              <w:right w:val="single" w:sz="4" w:space="0" w:color="000000"/>
            </w:tcBorders>
          </w:tcPr>
          <w:p w14:paraId="70E4F93A" w14:textId="77777777" w:rsidR="00F64BC7" w:rsidRPr="00F97CB0"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1B3A0D79" w14:textId="27B35885" w:rsidR="00F64BC7" w:rsidRPr="00F97CB0" w:rsidRDefault="00F64BC7" w:rsidP="00610346">
            <w:pPr>
              <w:ind w:right="59"/>
              <w:jc w:val="both"/>
              <w:rPr>
                <w:rFonts w:ascii="Times New Roman" w:eastAsia="Times New Roman" w:hAnsi="Times New Roman" w:cs="Times New Roman"/>
                <w:color w:val="000000"/>
                <w:sz w:val="24"/>
              </w:rPr>
            </w:pPr>
            <w:r w:rsidRPr="00F97CB0">
              <w:rPr>
                <w:rFonts w:ascii="Times New Roman" w:hAnsi="Times New Roman"/>
                <w:b/>
                <w:color w:val="000000"/>
                <w:sz w:val="20"/>
              </w:rPr>
              <w:t>6,898</w:t>
            </w:r>
          </w:p>
        </w:tc>
      </w:tr>
      <w:tr w:rsidR="00F64BC7" w:rsidRPr="00F97CB0" w14:paraId="73AB29A5" w14:textId="77777777" w:rsidTr="000769B2">
        <w:trPr>
          <w:trHeight w:val="240"/>
        </w:trPr>
        <w:tc>
          <w:tcPr>
            <w:tcW w:w="5059" w:type="dxa"/>
            <w:gridSpan w:val="4"/>
            <w:tcBorders>
              <w:top w:val="single" w:sz="4" w:space="0" w:color="000000"/>
              <w:left w:val="single" w:sz="4" w:space="0" w:color="000000"/>
              <w:bottom w:val="single" w:sz="4" w:space="0" w:color="000000"/>
              <w:right w:val="nil"/>
            </w:tcBorders>
          </w:tcPr>
          <w:p w14:paraId="7BED5E06" w14:textId="3D224450" w:rsidR="00F64BC7" w:rsidRPr="00F97CB0" w:rsidRDefault="00F64BC7" w:rsidP="00610346">
            <w:pPr>
              <w:ind w:left="2"/>
              <w:jc w:val="both"/>
              <w:rPr>
                <w:rFonts w:ascii="Times New Roman" w:eastAsia="Times New Roman" w:hAnsi="Times New Roman" w:cs="Times New Roman"/>
                <w:color w:val="000000"/>
                <w:sz w:val="24"/>
              </w:rPr>
            </w:pPr>
            <w:r w:rsidRPr="00F97CB0">
              <w:rPr>
                <w:rFonts w:ascii="Times New Roman" w:hAnsi="Times New Roman"/>
                <w:b/>
                <w:color w:val="000000"/>
                <w:sz w:val="20"/>
              </w:rPr>
              <w:t>Total</w:t>
            </w:r>
          </w:p>
        </w:tc>
        <w:tc>
          <w:tcPr>
            <w:tcW w:w="3699" w:type="dxa"/>
            <w:gridSpan w:val="4"/>
            <w:tcBorders>
              <w:top w:val="single" w:sz="4" w:space="0" w:color="000000"/>
              <w:left w:val="nil"/>
              <w:bottom w:val="single" w:sz="4" w:space="0" w:color="000000"/>
              <w:right w:val="single" w:sz="4" w:space="0" w:color="000000"/>
            </w:tcBorders>
          </w:tcPr>
          <w:p w14:paraId="5C3CF7DA" w14:textId="77777777" w:rsidR="00F64BC7" w:rsidRPr="00F97CB0" w:rsidRDefault="00F64BC7" w:rsidP="00610346">
            <w:pPr>
              <w:jc w:val="both"/>
              <w:rPr>
                <w:rFonts w:ascii="Times New Roman" w:eastAsia="Times New Roman" w:hAnsi="Times New Roman" w:cs="Times New Roman"/>
                <w:color w:val="000000"/>
                <w:sz w:val="24"/>
              </w:rPr>
            </w:pPr>
          </w:p>
        </w:tc>
        <w:tc>
          <w:tcPr>
            <w:tcW w:w="820" w:type="dxa"/>
            <w:tcBorders>
              <w:top w:val="single" w:sz="4" w:space="0" w:color="000000"/>
              <w:left w:val="single" w:sz="4" w:space="0" w:color="000000"/>
              <w:bottom w:val="single" w:sz="4" w:space="0" w:color="000000"/>
              <w:right w:val="single" w:sz="4" w:space="0" w:color="000000"/>
            </w:tcBorders>
          </w:tcPr>
          <w:p w14:paraId="29FD40C9" w14:textId="66A37459" w:rsidR="00F64BC7" w:rsidRPr="00F97CB0" w:rsidRDefault="00F64BC7" w:rsidP="00610346">
            <w:pPr>
              <w:ind w:left="29"/>
              <w:jc w:val="both"/>
              <w:rPr>
                <w:rFonts w:ascii="Times New Roman" w:eastAsia="Times New Roman" w:hAnsi="Times New Roman" w:cs="Times New Roman"/>
                <w:color w:val="000000"/>
                <w:sz w:val="24"/>
              </w:rPr>
            </w:pPr>
            <w:r w:rsidRPr="00F97CB0">
              <w:rPr>
                <w:rFonts w:ascii="Times New Roman" w:hAnsi="Times New Roman"/>
                <w:b/>
                <w:color w:val="000000"/>
                <w:sz w:val="20"/>
              </w:rPr>
              <w:t>38,466</w:t>
            </w:r>
          </w:p>
        </w:tc>
      </w:tr>
    </w:tbl>
    <w:p w14:paraId="672A93A7" w14:textId="77777777" w:rsidR="006319F1" w:rsidRPr="00F97CB0" w:rsidRDefault="006319F1" w:rsidP="00610346">
      <w:pPr>
        <w:keepNext/>
        <w:keepLines/>
        <w:spacing w:after="3" w:line="270" w:lineRule="auto"/>
        <w:ind w:left="-5" w:right="47" w:hanging="10"/>
        <w:jc w:val="both"/>
        <w:outlineLvl w:val="2"/>
        <w:rPr>
          <w:rFonts w:ascii="Times New Roman" w:eastAsia="Times New Roman" w:hAnsi="Times New Roman" w:cs="Times New Roman"/>
          <w:b/>
          <w:color w:val="000000"/>
          <w:sz w:val="24"/>
        </w:rPr>
      </w:pPr>
    </w:p>
    <w:p w14:paraId="15F7139F" w14:textId="6E2EEC49" w:rsidR="000769B2" w:rsidRPr="00F97CB0" w:rsidRDefault="000769B2" w:rsidP="00641CA1">
      <w:pPr>
        <w:rPr>
          <w:rFonts w:ascii="Times New Roman" w:hAnsi="Times New Roman" w:cs="Times New Roman"/>
          <w:b/>
          <w:sz w:val="24"/>
          <w:szCs w:val="24"/>
        </w:rPr>
      </w:pPr>
      <w:r w:rsidRPr="00F97CB0">
        <w:rPr>
          <w:rFonts w:ascii="Times New Roman" w:hAnsi="Times New Roman"/>
          <w:b/>
          <w:sz w:val="24"/>
        </w:rPr>
        <w:t>5.1.13. Capital</w:t>
      </w:r>
    </w:p>
    <w:p w14:paraId="391C23D1" w14:textId="2D59C881" w:rsidR="000769B2" w:rsidRPr="00F97CB0" w:rsidRDefault="000769B2" w:rsidP="00B91301">
      <w:pPr>
        <w:spacing w:after="33"/>
        <w:jc w:val="both"/>
        <w:rPr>
          <w:rFonts w:ascii="Times New Roman" w:eastAsia="Times New Roman" w:hAnsi="Times New Roman" w:cs="Times New Roman"/>
          <w:color w:val="000000"/>
          <w:sz w:val="24"/>
        </w:rPr>
      </w:pPr>
      <w:r w:rsidRPr="00F97CB0">
        <w:rPr>
          <w:rFonts w:ascii="Times New Roman" w:hAnsi="Times New Roman"/>
          <w:color w:val="000000"/>
          <w:sz w:val="24"/>
        </w:rPr>
        <w:t>Table No 32 – Capital – in thousands of dinars</w:t>
      </w:r>
    </w:p>
    <w:tbl>
      <w:tblPr>
        <w:tblStyle w:val="TableGrid"/>
        <w:tblW w:w="8918" w:type="dxa"/>
        <w:tblInd w:w="-5" w:type="dxa"/>
        <w:tblCellMar>
          <w:top w:w="12" w:type="dxa"/>
          <w:left w:w="108" w:type="dxa"/>
          <w:right w:w="48" w:type="dxa"/>
        </w:tblCellMar>
        <w:tblLook w:val="04A0" w:firstRow="1" w:lastRow="0" w:firstColumn="1" w:lastColumn="0" w:noHBand="0" w:noVBand="1"/>
      </w:tblPr>
      <w:tblGrid>
        <w:gridCol w:w="5692"/>
        <w:gridCol w:w="1606"/>
        <w:gridCol w:w="1620"/>
      </w:tblGrid>
      <w:tr w:rsidR="000769B2" w:rsidRPr="00F97CB0" w14:paraId="064903AE" w14:textId="77777777" w:rsidTr="00882CF8">
        <w:trPr>
          <w:trHeight w:val="286"/>
        </w:trPr>
        <w:tc>
          <w:tcPr>
            <w:tcW w:w="5691" w:type="dxa"/>
            <w:tcBorders>
              <w:top w:val="single" w:sz="4" w:space="0" w:color="000000"/>
              <w:left w:val="single" w:sz="4" w:space="0" w:color="000000"/>
              <w:bottom w:val="single" w:sz="4" w:space="0" w:color="000000"/>
              <w:right w:val="single" w:sz="4" w:space="0" w:color="000000"/>
            </w:tcBorders>
          </w:tcPr>
          <w:p w14:paraId="0796C8FE" w14:textId="3C293FF9" w:rsidR="000769B2" w:rsidRPr="00F97CB0" w:rsidRDefault="000769B2"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606" w:type="dxa"/>
            <w:tcBorders>
              <w:top w:val="single" w:sz="4" w:space="0" w:color="000000"/>
              <w:left w:val="single" w:sz="4" w:space="0" w:color="000000"/>
              <w:bottom w:val="single" w:sz="4" w:space="0" w:color="000000"/>
              <w:right w:val="single" w:sz="4" w:space="0" w:color="000000"/>
            </w:tcBorders>
          </w:tcPr>
          <w:p w14:paraId="3EA9775D" w14:textId="2CEB09C1" w:rsidR="000769B2" w:rsidRPr="00F97CB0" w:rsidRDefault="000769B2" w:rsidP="00721F69">
            <w:pPr>
              <w:ind w:right="61"/>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620" w:type="dxa"/>
            <w:tcBorders>
              <w:top w:val="single" w:sz="4" w:space="0" w:color="000000"/>
              <w:left w:val="single" w:sz="4" w:space="0" w:color="000000"/>
              <w:bottom w:val="single" w:sz="4" w:space="0" w:color="000000"/>
              <w:right w:val="single" w:sz="4" w:space="0" w:color="000000"/>
            </w:tcBorders>
          </w:tcPr>
          <w:p w14:paraId="06550261" w14:textId="4FE2052F" w:rsidR="000769B2" w:rsidRPr="00F97CB0" w:rsidRDefault="000769B2"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0769B2" w:rsidRPr="00F97CB0" w14:paraId="723AE5EF"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3A1EE5C8" w14:textId="1587F519" w:rsidR="000769B2" w:rsidRPr="00F97CB0" w:rsidRDefault="000769B2"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Share capital</w:t>
            </w:r>
          </w:p>
        </w:tc>
        <w:tc>
          <w:tcPr>
            <w:tcW w:w="1606" w:type="dxa"/>
            <w:tcBorders>
              <w:top w:val="single" w:sz="4" w:space="0" w:color="000000"/>
              <w:left w:val="single" w:sz="4" w:space="0" w:color="000000"/>
              <w:bottom w:val="single" w:sz="4" w:space="0" w:color="000000"/>
              <w:right w:val="single" w:sz="4" w:space="0" w:color="000000"/>
            </w:tcBorders>
          </w:tcPr>
          <w:p w14:paraId="4E61ECA4" w14:textId="32B88975" w:rsidR="000769B2" w:rsidRPr="00F97CB0" w:rsidRDefault="000769B2"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10,283</w:t>
            </w:r>
          </w:p>
        </w:tc>
        <w:tc>
          <w:tcPr>
            <w:tcW w:w="1620" w:type="dxa"/>
            <w:tcBorders>
              <w:top w:val="single" w:sz="4" w:space="0" w:color="000000"/>
              <w:left w:val="single" w:sz="4" w:space="0" w:color="000000"/>
              <w:bottom w:val="single" w:sz="4" w:space="0" w:color="000000"/>
              <w:right w:val="single" w:sz="4" w:space="0" w:color="000000"/>
            </w:tcBorders>
          </w:tcPr>
          <w:p w14:paraId="1DC03841" w14:textId="710829F5" w:rsidR="000769B2" w:rsidRPr="00F97CB0" w:rsidRDefault="000769B2"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9,841</w:t>
            </w:r>
          </w:p>
        </w:tc>
      </w:tr>
      <w:tr w:rsidR="000769B2" w:rsidRPr="00F97CB0" w14:paraId="45C50A6E"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5893F73C" w14:textId="1BD2780E" w:rsidR="000769B2" w:rsidRPr="00F97CB0" w:rsidRDefault="000769B2"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State-owned capital</w:t>
            </w:r>
          </w:p>
        </w:tc>
        <w:tc>
          <w:tcPr>
            <w:tcW w:w="1606" w:type="dxa"/>
            <w:tcBorders>
              <w:top w:val="single" w:sz="4" w:space="0" w:color="000000"/>
              <w:left w:val="single" w:sz="4" w:space="0" w:color="000000"/>
              <w:bottom w:val="single" w:sz="4" w:space="0" w:color="000000"/>
              <w:right w:val="single" w:sz="4" w:space="0" w:color="000000"/>
            </w:tcBorders>
          </w:tcPr>
          <w:p w14:paraId="3F80AAEA" w14:textId="6C7E0CAB" w:rsidR="000769B2" w:rsidRPr="00F97CB0" w:rsidRDefault="000769B2"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118,252</w:t>
            </w:r>
          </w:p>
        </w:tc>
        <w:tc>
          <w:tcPr>
            <w:tcW w:w="1620" w:type="dxa"/>
            <w:tcBorders>
              <w:top w:val="single" w:sz="4" w:space="0" w:color="000000"/>
              <w:left w:val="single" w:sz="4" w:space="0" w:color="000000"/>
              <w:bottom w:val="single" w:sz="4" w:space="0" w:color="000000"/>
              <w:right w:val="single" w:sz="4" w:space="0" w:color="000000"/>
            </w:tcBorders>
          </w:tcPr>
          <w:p w14:paraId="46299EFC" w14:textId="613E9742" w:rsidR="000769B2" w:rsidRPr="00F97CB0" w:rsidRDefault="000769B2"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113,173</w:t>
            </w:r>
          </w:p>
        </w:tc>
      </w:tr>
      <w:tr w:rsidR="000769B2" w:rsidRPr="00F97CB0" w14:paraId="2F77FC35"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332DF27B" w14:textId="74547EDC" w:rsidR="000769B2" w:rsidRPr="00F97CB0" w:rsidRDefault="000769B2"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Reserves</w:t>
            </w:r>
          </w:p>
        </w:tc>
        <w:tc>
          <w:tcPr>
            <w:tcW w:w="1606" w:type="dxa"/>
            <w:tcBorders>
              <w:top w:val="single" w:sz="4" w:space="0" w:color="000000"/>
              <w:left w:val="single" w:sz="4" w:space="0" w:color="000000"/>
              <w:bottom w:val="single" w:sz="4" w:space="0" w:color="000000"/>
              <w:right w:val="single" w:sz="4" w:space="0" w:color="000000"/>
            </w:tcBorders>
          </w:tcPr>
          <w:p w14:paraId="04BC2E55" w14:textId="3AB8DAAE" w:rsidR="000769B2" w:rsidRPr="00F97CB0" w:rsidRDefault="000769B2"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2,641</w:t>
            </w:r>
          </w:p>
        </w:tc>
        <w:tc>
          <w:tcPr>
            <w:tcW w:w="1620" w:type="dxa"/>
            <w:tcBorders>
              <w:top w:val="single" w:sz="4" w:space="0" w:color="000000"/>
              <w:left w:val="single" w:sz="4" w:space="0" w:color="000000"/>
              <w:bottom w:val="single" w:sz="4" w:space="0" w:color="000000"/>
              <w:right w:val="single" w:sz="4" w:space="0" w:color="000000"/>
            </w:tcBorders>
          </w:tcPr>
          <w:p w14:paraId="424A1798" w14:textId="393DB789" w:rsidR="000769B2" w:rsidRPr="00F97CB0" w:rsidRDefault="000769B2"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2,641</w:t>
            </w:r>
          </w:p>
        </w:tc>
      </w:tr>
      <w:tr w:rsidR="000769B2" w:rsidRPr="00F97CB0" w14:paraId="2654CEAF"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29135CDD" w14:textId="6893AC97" w:rsidR="000769B2" w:rsidRPr="00F97CB0" w:rsidRDefault="000769B2"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Retained earnings</w:t>
            </w:r>
          </w:p>
        </w:tc>
        <w:tc>
          <w:tcPr>
            <w:tcW w:w="1606" w:type="dxa"/>
            <w:tcBorders>
              <w:top w:val="single" w:sz="4" w:space="0" w:color="000000"/>
              <w:left w:val="single" w:sz="4" w:space="0" w:color="000000"/>
              <w:bottom w:val="single" w:sz="4" w:space="0" w:color="000000"/>
              <w:right w:val="single" w:sz="4" w:space="0" w:color="000000"/>
            </w:tcBorders>
          </w:tcPr>
          <w:p w14:paraId="66DE5B6E" w14:textId="60AA280A" w:rsidR="000769B2" w:rsidRPr="00F97CB0" w:rsidRDefault="000769B2" w:rsidP="0035532B">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24,069</w:t>
            </w:r>
          </w:p>
        </w:tc>
        <w:tc>
          <w:tcPr>
            <w:tcW w:w="1620" w:type="dxa"/>
            <w:tcBorders>
              <w:top w:val="single" w:sz="4" w:space="0" w:color="000000"/>
              <w:left w:val="single" w:sz="4" w:space="0" w:color="000000"/>
              <w:bottom w:val="single" w:sz="4" w:space="0" w:color="000000"/>
              <w:right w:val="single" w:sz="4" w:space="0" w:color="000000"/>
            </w:tcBorders>
          </w:tcPr>
          <w:p w14:paraId="7B66804C" w14:textId="0FB6E694" w:rsidR="000769B2" w:rsidRPr="00F97CB0" w:rsidRDefault="000769B2" w:rsidP="0035532B">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23,815</w:t>
            </w:r>
          </w:p>
        </w:tc>
      </w:tr>
      <w:tr w:rsidR="000769B2" w:rsidRPr="00F97CB0" w14:paraId="2B6A0DA8" w14:textId="77777777" w:rsidTr="00882CF8">
        <w:trPr>
          <w:trHeight w:val="312"/>
        </w:trPr>
        <w:tc>
          <w:tcPr>
            <w:tcW w:w="5691" w:type="dxa"/>
            <w:tcBorders>
              <w:top w:val="single" w:sz="4" w:space="0" w:color="000000"/>
              <w:left w:val="single" w:sz="4" w:space="0" w:color="000000"/>
              <w:bottom w:val="single" w:sz="4" w:space="0" w:color="000000"/>
              <w:right w:val="single" w:sz="4" w:space="0" w:color="000000"/>
            </w:tcBorders>
          </w:tcPr>
          <w:p w14:paraId="1E89D8C8" w14:textId="045101A3" w:rsidR="000769B2" w:rsidRPr="00F97CB0" w:rsidRDefault="000769B2"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606" w:type="dxa"/>
            <w:tcBorders>
              <w:top w:val="single" w:sz="4" w:space="0" w:color="000000"/>
              <w:left w:val="single" w:sz="4" w:space="0" w:color="000000"/>
              <w:bottom w:val="single" w:sz="4" w:space="0" w:color="000000"/>
              <w:right w:val="single" w:sz="4" w:space="0" w:color="000000"/>
            </w:tcBorders>
          </w:tcPr>
          <w:p w14:paraId="294E35E4" w14:textId="7ACEF7DF" w:rsidR="000769B2" w:rsidRPr="00F97CB0" w:rsidRDefault="000769B2" w:rsidP="0035532B">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155,245</w:t>
            </w:r>
          </w:p>
        </w:tc>
        <w:tc>
          <w:tcPr>
            <w:tcW w:w="1620" w:type="dxa"/>
            <w:tcBorders>
              <w:top w:val="single" w:sz="4" w:space="0" w:color="000000"/>
              <w:left w:val="single" w:sz="4" w:space="0" w:color="000000"/>
              <w:bottom w:val="single" w:sz="4" w:space="0" w:color="000000"/>
              <w:right w:val="single" w:sz="4" w:space="0" w:color="000000"/>
            </w:tcBorders>
          </w:tcPr>
          <w:p w14:paraId="38763F60" w14:textId="76B86D24" w:rsidR="000769B2" w:rsidRPr="00F97CB0" w:rsidRDefault="000769B2" w:rsidP="0035532B">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149,470</w:t>
            </w:r>
          </w:p>
        </w:tc>
      </w:tr>
    </w:tbl>
    <w:p w14:paraId="1E9AC052" w14:textId="5C5315C3" w:rsidR="000769B2" w:rsidRPr="00F97CB0" w:rsidRDefault="000769B2" w:rsidP="00610346">
      <w:pPr>
        <w:spacing w:after="25"/>
        <w:jc w:val="both"/>
        <w:rPr>
          <w:rFonts w:ascii="Times New Roman" w:eastAsia="Times New Roman" w:hAnsi="Times New Roman" w:cs="Times New Roman"/>
          <w:color w:val="000000"/>
          <w:sz w:val="24"/>
        </w:rPr>
      </w:pPr>
    </w:p>
    <w:p w14:paraId="31D0DEE9" w14:textId="1C3FF2D2" w:rsidR="000769B2" w:rsidRPr="00F97CB0" w:rsidRDefault="000769B2" w:rsidP="00641CA1">
      <w:pPr>
        <w:rPr>
          <w:rFonts w:ascii="Times New Roman" w:hAnsi="Times New Roman" w:cs="Times New Roman"/>
          <w:b/>
          <w:sz w:val="24"/>
          <w:szCs w:val="24"/>
        </w:rPr>
      </w:pPr>
      <w:r w:rsidRPr="00F97CB0">
        <w:rPr>
          <w:rFonts w:ascii="Times New Roman" w:hAnsi="Times New Roman"/>
          <w:b/>
          <w:sz w:val="24"/>
        </w:rPr>
        <w:t>Fixed capital</w:t>
      </w:r>
    </w:p>
    <w:p w14:paraId="01B0142D" w14:textId="3B5E57C4" w:rsidR="000769B2" w:rsidRPr="00F97CB0" w:rsidRDefault="000769B2" w:rsidP="00494AE5">
      <w:pPr>
        <w:spacing w:after="18"/>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Capital stock of the Company consists of share capital and state-owned capital.</w:t>
      </w:r>
    </w:p>
    <w:p w14:paraId="5B02B8F8" w14:textId="6BCFF126" w:rsidR="000769B2" w:rsidRPr="00F97CB0" w:rsidRDefault="000769B2" w:rsidP="00610346">
      <w:pPr>
        <w:spacing w:after="0"/>
        <w:jc w:val="both"/>
        <w:rPr>
          <w:rFonts w:ascii="Times New Roman" w:eastAsia="Times New Roman" w:hAnsi="Times New Roman" w:cs="Times New Roman"/>
          <w:color w:val="000000"/>
          <w:sz w:val="24"/>
        </w:rPr>
      </w:pPr>
    </w:p>
    <w:p w14:paraId="127EEBE6" w14:textId="7C5C092A" w:rsidR="000769B2" w:rsidRPr="00F97CB0" w:rsidRDefault="000769B2" w:rsidP="00494AE5">
      <w:pPr>
        <w:spacing w:after="53"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According to the Company's Statute No. 1718 of 22 June 2012. total subscribed and paid-up capital of the founders </w:t>
      </w:r>
      <w:r w:rsidR="0032791C" w:rsidRPr="00F97CB0">
        <w:rPr>
          <w:rFonts w:ascii="Times New Roman" w:hAnsi="Times New Roman"/>
          <w:color w:val="000000"/>
          <w:sz w:val="24"/>
        </w:rPr>
        <w:t>–</w:t>
      </w:r>
      <w:r w:rsidRPr="00F97CB0">
        <w:rPr>
          <w:rFonts w:ascii="Times New Roman" w:hAnsi="Times New Roman"/>
          <w:color w:val="000000"/>
          <w:sz w:val="24"/>
        </w:rPr>
        <w:t xml:space="preserve"> shareholders of the Company, as of 31 December 1997. amounts to 5,931 thousand dinars.</w:t>
      </w:r>
    </w:p>
    <w:p w14:paraId="2A2C8CF4" w14:textId="71D882AC" w:rsidR="000769B2" w:rsidRPr="00F97CB0" w:rsidRDefault="000769B2" w:rsidP="00494AE5">
      <w:pPr>
        <w:spacing w:after="103"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The total share capital is divided into 10,053 ordinary shares with nominal value RSD 590.00 per share, of which:</w:t>
      </w:r>
    </w:p>
    <w:p w14:paraId="0A28418A" w14:textId="1A19E86A" w:rsidR="000769B2" w:rsidRPr="00F97CB0" w:rsidRDefault="000769B2" w:rsidP="00610346">
      <w:pPr>
        <w:numPr>
          <w:ilvl w:val="0"/>
          <w:numId w:val="1"/>
        </w:numPr>
        <w:spacing w:after="132" w:line="265" w:lineRule="auto"/>
        <w:ind w:right="59"/>
        <w:jc w:val="both"/>
        <w:rPr>
          <w:rFonts w:ascii="Times New Roman" w:eastAsia="Times New Roman" w:hAnsi="Times New Roman" w:cs="Times New Roman"/>
          <w:color w:val="000000"/>
          <w:sz w:val="24"/>
        </w:rPr>
      </w:pPr>
      <w:r w:rsidRPr="00F97CB0">
        <w:rPr>
          <w:rFonts w:ascii="Times New Roman" w:hAnsi="Times New Roman"/>
          <w:color w:val="000000"/>
          <w:sz w:val="24"/>
        </w:rPr>
        <w:t>State-owned capital amounts to 5,456,447.57 dinars, divided into 9,248 ordinary shares with an individual nominal value of 590.00 dinars, which constitutes a share of 92% of the total capital and</w:t>
      </w:r>
    </w:p>
    <w:p w14:paraId="4566F6E4" w14:textId="0950D569" w:rsidR="000769B2" w:rsidRPr="00F97CB0" w:rsidRDefault="000769B2" w:rsidP="00610346">
      <w:pPr>
        <w:numPr>
          <w:ilvl w:val="0"/>
          <w:numId w:val="1"/>
        </w:numPr>
        <w:spacing w:after="142" w:line="265" w:lineRule="auto"/>
        <w:ind w:right="59"/>
        <w:jc w:val="both"/>
        <w:rPr>
          <w:rFonts w:ascii="Times New Roman" w:eastAsia="Times New Roman" w:hAnsi="Times New Roman" w:cs="Times New Roman"/>
          <w:color w:val="000000"/>
          <w:sz w:val="24"/>
        </w:rPr>
      </w:pPr>
      <w:r w:rsidRPr="00F97CB0">
        <w:rPr>
          <w:rFonts w:ascii="Times New Roman" w:hAnsi="Times New Roman"/>
          <w:color w:val="000000"/>
          <w:sz w:val="24"/>
        </w:rPr>
        <w:t xml:space="preserve">Share </w:t>
      </w:r>
      <w:r w:rsidR="0032791C" w:rsidRPr="00F97CB0">
        <w:rPr>
          <w:rFonts w:ascii="Times New Roman" w:hAnsi="Times New Roman"/>
          <w:color w:val="000000"/>
          <w:sz w:val="24"/>
        </w:rPr>
        <w:t>–</w:t>
      </w:r>
      <w:r w:rsidRPr="00F97CB0">
        <w:rPr>
          <w:rFonts w:ascii="Times New Roman" w:hAnsi="Times New Roman"/>
          <w:color w:val="000000"/>
          <w:sz w:val="24"/>
        </w:rPr>
        <w:t xml:space="preserve"> private capital amounts to 474,813.82 dinars, divided into 805 ordinary shares with an individual nominal value of 590.00 dinars, which constitutes a share of 8% of the total capital.</w:t>
      </w:r>
    </w:p>
    <w:p w14:paraId="1A1A65AB" w14:textId="7D17CAC6" w:rsidR="000769B2" w:rsidRPr="00F97CB0" w:rsidRDefault="000769B2" w:rsidP="00494AE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Capital stock of the Company at the Agency for Business Registers of the Republic of Serbia refers to the subscribed and paid-up capital in the amount of 5,931 thousand dinars.</w:t>
      </w:r>
    </w:p>
    <w:p w14:paraId="2465207A" w14:textId="14CAFF86" w:rsidR="00B91301" w:rsidRPr="00F97CB0" w:rsidRDefault="00B91301" w:rsidP="00641CA1">
      <w:pPr>
        <w:rPr>
          <w:rFonts w:ascii="Times New Roman" w:hAnsi="Times New Roman" w:cs="Times New Roman"/>
          <w:b/>
          <w:sz w:val="24"/>
          <w:szCs w:val="24"/>
        </w:rPr>
      </w:pPr>
    </w:p>
    <w:p w14:paraId="1CABCE3D" w14:textId="4AB9793E" w:rsidR="006319F1" w:rsidRPr="00F97CB0" w:rsidRDefault="006319F1" w:rsidP="00641CA1">
      <w:pPr>
        <w:rPr>
          <w:rFonts w:ascii="Times New Roman" w:hAnsi="Times New Roman" w:cs="Times New Roman"/>
          <w:b/>
          <w:sz w:val="24"/>
          <w:szCs w:val="24"/>
        </w:rPr>
      </w:pPr>
      <w:r w:rsidRPr="00F97CB0">
        <w:rPr>
          <w:rFonts w:ascii="Times New Roman" w:hAnsi="Times New Roman"/>
          <w:b/>
          <w:sz w:val="24"/>
        </w:rPr>
        <w:t>Retained earnings</w:t>
      </w:r>
    </w:p>
    <w:p w14:paraId="3C9CF084" w14:textId="486D16E4" w:rsidR="006319F1" w:rsidRPr="00F97CB0" w:rsidRDefault="006319F1" w:rsidP="00641CA1">
      <w:pPr>
        <w:spacing w:after="82"/>
        <w:jc w:val="both"/>
        <w:rPr>
          <w:rFonts w:ascii="Times New Roman" w:eastAsia="Times New Roman" w:hAnsi="Times New Roman" w:cs="Times New Roman"/>
          <w:color w:val="000000"/>
          <w:sz w:val="24"/>
        </w:rPr>
      </w:pPr>
      <w:r w:rsidRPr="00F97CB0">
        <w:rPr>
          <w:rFonts w:ascii="Times New Roman" w:hAnsi="Times New Roman"/>
          <w:color w:val="000000"/>
          <w:sz w:val="24"/>
        </w:rPr>
        <w:t>Table No 33 – Retained earnings – in thousands of dinars</w:t>
      </w:r>
    </w:p>
    <w:tbl>
      <w:tblPr>
        <w:tblStyle w:val="TableGrid"/>
        <w:tblW w:w="8918" w:type="dxa"/>
        <w:tblInd w:w="-5" w:type="dxa"/>
        <w:tblCellMar>
          <w:top w:w="14" w:type="dxa"/>
          <w:left w:w="108" w:type="dxa"/>
          <w:right w:w="48" w:type="dxa"/>
        </w:tblCellMar>
        <w:tblLook w:val="04A0" w:firstRow="1" w:lastRow="0" w:firstColumn="1" w:lastColumn="0" w:noHBand="0" w:noVBand="1"/>
      </w:tblPr>
      <w:tblGrid>
        <w:gridCol w:w="5692"/>
        <w:gridCol w:w="1606"/>
        <w:gridCol w:w="1620"/>
      </w:tblGrid>
      <w:tr w:rsidR="006319F1" w:rsidRPr="00F97CB0" w14:paraId="77A92E71" w14:textId="77777777" w:rsidTr="00882CF8">
        <w:trPr>
          <w:trHeight w:val="288"/>
        </w:trPr>
        <w:tc>
          <w:tcPr>
            <w:tcW w:w="5691" w:type="dxa"/>
            <w:tcBorders>
              <w:top w:val="single" w:sz="4" w:space="0" w:color="000000"/>
              <w:left w:val="single" w:sz="4" w:space="0" w:color="000000"/>
              <w:bottom w:val="single" w:sz="4" w:space="0" w:color="000000"/>
              <w:right w:val="single" w:sz="4" w:space="0" w:color="000000"/>
            </w:tcBorders>
          </w:tcPr>
          <w:p w14:paraId="6BC3CC9F" w14:textId="1C13FABA"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606" w:type="dxa"/>
            <w:tcBorders>
              <w:top w:val="single" w:sz="4" w:space="0" w:color="000000"/>
              <w:left w:val="single" w:sz="4" w:space="0" w:color="000000"/>
              <w:bottom w:val="single" w:sz="4" w:space="0" w:color="000000"/>
              <w:right w:val="single" w:sz="4" w:space="0" w:color="000000"/>
            </w:tcBorders>
          </w:tcPr>
          <w:p w14:paraId="518DD357" w14:textId="68EF8C5F" w:rsidR="006319F1" w:rsidRPr="00F97CB0" w:rsidRDefault="006319F1" w:rsidP="00721F69">
            <w:pPr>
              <w:ind w:right="61"/>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c>
          <w:tcPr>
            <w:tcW w:w="1620" w:type="dxa"/>
            <w:tcBorders>
              <w:top w:val="single" w:sz="4" w:space="0" w:color="000000"/>
              <w:left w:val="single" w:sz="4" w:space="0" w:color="000000"/>
              <w:bottom w:val="single" w:sz="4" w:space="0" w:color="000000"/>
              <w:right w:val="single" w:sz="4" w:space="0" w:color="000000"/>
            </w:tcBorders>
          </w:tcPr>
          <w:p w14:paraId="48F199E1" w14:textId="48E8FAD1" w:rsidR="006319F1" w:rsidRPr="00F97CB0" w:rsidRDefault="006319F1" w:rsidP="00721F69">
            <w:pPr>
              <w:ind w:right="62"/>
              <w:jc w:val="center"/>
              <w:rPr>
                <w:rFonts w:ascii="Times New Roman" w:eastAsia="Times New Roman" w:hAnsi="Times New Roman" w:cs="Times New Roman"/>
                <w:color w:val="000000"/>
                <w:sz w:val="24"/>
              </w:rPr>
            </w:pPr>
            <w:r w:rsidRPr="00F97CB0">
              <w:rPr>
                <w:rFonts w:ascii="Times New Roman" w:hAnsi="Times New Roman"/>
                <w:b/>
                <w:color w:val="000000"/>
                <w:sz w:val="24"/>
              </w:rPr>
              <w:t>2014</w:t>
            </w:r>
          </w:p>
        </w:tc>
      </w:tr>
      <w:tr w:rsidR="006319F1" w:rsidRPr="00F97CB0" w14:paraId="02B1192A"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30679FDC" w14:textId="45867980"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Retained earnings from previous years</w:t>
            </w:r>
          </w:p>
        </w:tc>
        <w:tc>
          <w:tcPr>
            <w:tcW w:w="1606" w:type="dxa"/>
            <w:tcBorders>
              <w:top w:val="single" w:sz="4" w:space="0" w:color="000000"/>
              <w:left w:val="single" w:sz="4" w:space="0" w:color="000000"/>
              <w:bottom w:val="single" w:sz="4" w:space="0" w:color="000000"/>
              <w:right w:val="single" w:sz="4" w:space="0" w:color="000000"/>
            </w:tcBorders>
          </w:tcPr>
          <w:p w14:paraId="126C89AD" w14:textId="5DFEAB72" w:rsidR="006319F1" w:rsidRPr="00F97CB0" w:rsidRDefault="006319F1" w:rsidP="00721F69">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18,293</w:t>
            </w:r>
          </w:p>
        </w:tc>
        <w:tc>
          <w:tcPr>
            <w:tcW w:w="1620" w:type="dxa"/>
            <w:tcBorders>
              <w:top w:val="single" w:sz="4" w:space="0" w:color="000000"/>
              <w:left w:val="single" w:sz="4" w:space="0" w:color="000000"/>
              <w:bottom w:val="single" w:sz="4" w:space="0" w:color="000000"/>
              <w:right w:val="single" w:sz="4" w:space="0" w:color="000000"/>
            </w:tcBorders>
          </w:tcPr>
          <w:p w14:paraId="68EA61A6" w14:textId="4EBA4D3B" w:rsidR="006319F1" w:rsidRPr="00F97CB0" w:rsidRDefault="006319F1" w:rsidP="00721F69">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18,294</w:t>
            </w:r>
          </w:p>
        </w:tc>
      </w:tr>
      <w:tr w:rsidR="006319F1" w:rsidRPr="00F97CB0" w14:paraId="3A0E60BA"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5F1F1D66" w14:textId="52F00BB9"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Retained earnings of the current year</w:t>
            </w:r>
          </w:p>
        </w:tc>
        <w:tc>
          <w:tcPr>
            <w:tcW w:w="1606" w:type="dxa"/>
            <w:tcBorders>
              <w:top w:val="single" w:sz="4" w:space="0" w:color="000000"/>
              <w:left w:val="single" w:sz="4" w:space="0" w:color="000000"/>
              <w:bottom w:val="single" w:sz="4" w:space="0" w:color="000000"/>
              <w:right w:val="single" w:sz="4" w:space="0" w:color="000000"/>
            </w:tcBorders>
          </w:tcPr>
          <w:p w14:paraId="47B7B44A" w14:textId="0E041C31" w:rsidR="006319F1" w:rsidRPr="00F97CB0" w:rsidRDefault="006319F1" w:rsidP="00721F69">
            <w:pPr>
              <w:ind w:right="61"/>
              <w:jc w:val="right"/>
              <w:rPr>
                <w:rFonts w:ascii="Times New Roman" w:eastAsia="Times New Roman" w:hAnsi="Times New Roman" w:cs="Times New Roman"/>
                <w:color w:val="000000"/>
                <w:sz w:val="24"/>
              </w:rPr>
            </w:pPr>
            <w:r w:rsidRPr="00F97CB0">
              <w:rPr>
                <w:rFonts w:ascii="Times New Roman" w:hAnsi="Times New Roman"/>
                <w:color w:val="000000"/>
                <w:sz w:val="24"/>
              </w:rPr>
              <w:t>5,776</w:t>
            </w:r>
          </w:p>
        </w:tc>
        <w:tc>
          <w:tcPr>
            <w:tcW w:w="1620" w:type="dxa"/>
            <w:tcBorders>
              <w:top w:val="single" w:sz="4" w:space="0" w:color="000000"/>
              <w:left w:val="single" w:sz="4" w:space="0" w:color="000000"/>
              <w:bottom w:val="single" w:sz="4" w:space="0" w:color="000000"/>
              <w:right w:val="single" w:sz="4" w:space="0" w:color="000000"/>
            </w:tcBorders>
          </w:tcPr>
          <w:p w14:paraId="6D8C4A61" w14:textId="5C31AA92" w:rsidR="006319F1" w:rsidRPr="00F97CB0" w:rsidRDefault="006319F1" w:rsidP="00721F69">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5,521</w:t>
            </w:r>
          </w:p>
        </w:tc>
      </w:tr>
      <w:tr w:rsidR="006319F1" w:rsidRPr="00F97CB0" w14:paraId="5E1C2F2F" w14:textId="77777777" w:rsidTr="00882CF8">
        <w:trPr>
          <w:trHeight w:val="310"/>
        </w:trPr>
        <w:tc>
          <w:tcPr>
            <w:tcW w:w="5691" w:type="dxa"/>
            <w:tcBorders>
              <w:top w:val="single" w:sz="4" w:space="0" w:color="000000"/>
              <w:left w:val="single" w:sz="4" w:space="0" w:color="000000"/>
              <w:bottom w:val="single" w:sz="4" w:space="0" w:color="000000"/>
              <w:right w:val="single" w:sz="4" w:space="0" w:color="000000"/>
            </w:tcBorders>
          </w:tcPr>
          <w:p w14:paraId="54A19237" w14:textId="78699095"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lastRenderedPageBreak/>
              <w:t>Total</w:t>
            </w:r>
          </w:p>
        </w:tc>
        <w:tc>
          <w:tcPr>
            <w:tcW w:w="1606" w:type="dxa"/>
            <w:tcBorders>
              <w:top w:val="single" w:sz="4" w:space="0" w:color="000000"/>
              <w:left w:val="single" w:sz="4" w:space="0" w:color="000000"/>
              <w:bottom w:val="single" w:sz="4" w:space="0" w:color="000000"/>
              <w:right w:val="single" w:sz="4" w:space="0" w:color="000000"/>
            </w:tcBorders>
          </w:tcPr>
          <w:p w14:paraId="55732F3B" w14:textId="04DC9367" w:rsidR="006319F1" w:rsidRPr="00F97CB0" w:rsidRDefault="006319F1" w:rsidP="00721F69">
            <w:pPr>
              <w:ind w:right="61"/>
              <w:jc w:val="right"/>
              <w:rPr>
                <w:rFonts w:ascii="Times New Roman" w:eastAsia="Times New Roman" w:hAnsi="Times New Roman" w:cs="Times New Roman"/>
                <w:color w:val="000000"/>
                <w:sz w:val="24"/>
              </w:rPr>
            </w:pPr>
            <w:r w:rsidRPr="00F97CB0">
              <w:rPr>
                <w:rFonts w:ascii="Times New Roman" w:hAnsi="Times New Roman"/>
                <w:b/>
                <w:color w:val="000000"/>
                <w:sz w:val="24"/>
              </w:rPr>
              <w:t>24,069</w:t>
            </w:r>
          </w:p>
        </w:tc>
        <w:tc>
          <w:tcPr>
            <w:tcW w:w="1620" w:type="dxa"/>
            <w:tcBorders>
              <w:top w:val="single" w:sz="4" w:space="0" w:color="000000"/>
              <w:left w:val="single" w:sz="4" w:space="0" w:color="000000"/>
              <w:bottom w:val="single" w:sz="4" w:space="0" w:color="000000"/>
              <w:right w:val="single" w:sz="4" w:space="0" w:color="000000"/>
            </w:tcBorders>
          </w:tcPr>
          <w:p w14:paraId="3EE7CFD0" w14:textId="1D0F7FDB" w:rsidR="006319F1" w:rsidRPr="00F97CB0" w:rsidRDefault="006319F1" w:rsidP="00721F69">
            <w:pPr>
              <w:ind w:right="62"/>
              <w:jc w:val="right"/>
              <w:rPr>
                <w:rFonts w:ascii="Times New Roman" w:eastAsia="Times New Roman" w:hAnsi="Times New Roman" w:cs="Times New Roman"/>
                <w:color w:val="000000"/>
                <w:sz w:val="24"/>
              </w:rPr>
            </w:pPr>
            <w:r w:rsidRPr="00F97CB0">
              <w:rPr>
                <w:rFonts w:ascii="Times New Roman" w:hAnsi="Times New Roman"/>
                <w:b/>
                <w:color w:val="000000"/>
                <w:sz w:val="24"/>
              </w:rPr>
              <w:t>23,815</w:t>
            </w:r>
          </w:p>
        </w:tc>
      </w:tr>
    </w:tbl>
    <w:p w14:paraId="7A4B08FE" w14:textId="77777777" w:rsidR="006319F1" w:rsidRPr="00F97CB0" w:rsidRDefault="006319F1" w:rsidP="00610346">
      <w:pPr>
        <w:spacing w:after="103"/>
        <w:jc w:val="both"/>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2BA50032" w14:textId="76A8B931" w:rsidR="006319F1" w:rsidRPr="00F97CB0" w:rsidRDefault="006319F1" w:rsidP="00494AE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Retained earnings changes are shown in the following table:</w:t>
      </w:r>
    </w:p>
    <w:p w14:paraId="740544D2" w14:textId="41D57553" w:rsidR="006319F1" w:rsidRPr="00F97CB0" w:rsidRDefault="006319F1" w:rsidP="00610346">
      <w:pPr>
        <w:spacing w:after="99"/>
        <w:jc w:val="both"/>
        <w:rPr>
          <w:rFonts w:ascii="Times New Roman" w:eastAsia="Times New Roman" w:hAnsi="Times New Roman" w:cs="Times New Roman"/>
          <w:color w:val="000000"/>
          <w:sz w:val="24"/>
        </w:rPr>
      </w:pPr>
    </w:p>
    <w:p w14:paraId="092E1125" w14:textId="3502D9FA" w:rsidR="006319F1" w:rsidRPr="00F97CB0" w:rsidRDefault="006319F1" w:rsidP="00610346">
      <w:pPr>
        <w:spacing w:after="5" w:line="267" w:lineRule="auto"/>
        <w:ind w:left="24" w:right="55" w:hanging="10"/>
        <w:jc w:val="both"/>
        <w:rPr>
          <w:rFonts w:ascii="Times New Roman" w:eastAsia="Times New Roman" w:hAnsi="Times New Roman" w:cs="Times New Roman"/>
          <w:color w:val="000000"/>
          <w:sz w:val="24"/>
        </w:rPr>
      </w:pPr>
      <w:r w:rsidRPr="00F97CB0">
        <w:rPr>
          <w:rFonts w:ascii="Times New Roman" w:hAnsi="Times New Roman"/>
          <w:color w:val="000000"/>
          <w:sz w:val="24"/>
        </w:rPr>
        <w:t>Table No 34 – Retained earnings changes – in thousands of dinars</w:t>
      </w:r>
    </w:p>
    <w:tbl>
      <w:tblPr>
        <w:tblStyle w:val="TableGrid"/>
        <w:tblW w:w="8937" w:type="dxa"/>
        <w:tblInd w:w="-5" w:type="dxa"/>
        <w:tblCellMar>
          <w:top w:w="12" w:type="dxa"/>
          <w:left w:w="108" w:type="dxa"/>
          <w:right w:w="48" w:type="dxa"/>
        </w:tblCellMar>
        <w:tblLook w:val="04A0" w:firstRow="1" w:lastRow="0" w:firstColumn="1" w:lastColumn="0" w:noHBand="0" w:noVBand="1"/>
      </w:tblPr>
      <w:tblGrid>
        <w:gridCol w:w="7377"/>
        <w:gridCol w:w="1560"/>
      </w:tblGrid>
      <w:tr w:rsidR="006319F1" w:rsidRPr="00F97CB0" w14:paraId="536F03D5" w14:textId="77777777" w:rsidTr="00882CF8">
        <w:trPr>
          <w:trHeight w:val="286"/>
        </w:trPr>
        <w:tc>
          <w:tcPr>
            <w:tcW w:w="7377" w:type="dxa"/>
            <w:tcBorders>
              <w:top w:val="single" w:sz="4" w:space="0" w:color="000000"/>
              <w:left w:val="single" w:sz="4" w:space="0" w:color="000000"/>
              <w:bottom w:val="single" w:sz="4" w:space="0" w:color="000000"/>
              <w:right w:val="single" w:sz="4" w:space="0" w:color="000000"/>
            </w:tcBorders>
          </w:tcPr>
          <w:p w14:paraId="47547ECD" w14:textId="49712A14"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Name</w:t>
            </w:r>
          </w:p>
        </w:tc>
        <w:tc>
          <w:tcPr>
            <w:tcW w:w="1560" w:type="dxa"/>
            <w:tcBorders>
              <w:top w:val="single" w:sz="4" w:space="0" w:color="000000"/>
              <w:left w:val="single" w:sz="4" w:space="0" w:color="000000"/>
              <w:bottom w:val="single" w:sz="4" w:space="0" w:color="000000"/>
              <w:right w:val="single" w:sz="4" w:space="0" w:color="000000"/>
            </w:tcBorders>
          </w:tcPr>
          <w:p w14:paraId="0F914775" w14:textId="3DFB3365" w:rsidR="006319F1" w:rsidRPr="00F97CB0" w:rsidRDefault="006319F1" w:rsidP="00721F69">
            <w:pPr>
              <w:ind w:right="60"/>
              <w:jc w:val="center"/>
              <w:rPr>
                <w:rFonts w:ascii="Times New Roman" w:eastAsia="Times New Roman" w:hAnsi="Times New Roman" w:cs="Times New Roman"/>
                <w:color w:val="000000"/>
                <w:sz w:val="24"/>
              </w:rPr>
            </w:pPr>
            <w:r w:rsidRPr="00F97CB0">
              <w:rPr>
                <w:rFonts w:ascii="Times New Roman" w:hAnsi="Times New Roman"/>
                <w:b/>
                <w:color w:val="000000"/>
                <w:sz w:val="24"/>
              </w:rPr>
              <w:t>2015</w:t>
            </w:r>
          </w:p>
        </w:tc>
      </w:tr>
      <w:tr w:rsidR="006319F1" w:rsidRPr="00F97CB0" w14:paraId="2F284DFD"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64F2E249" w14:textId="15682E70"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Retained earnings as of 1 January 2014</w:t>
            </w:r>
          </w:p>
        </w:tc>
        <w:tc>
          <w:tcPr>
            <w:tcW w:w="1560" w:type="dxa"/>
            <w:tcBorders>
              <w:top w:val="single" w:sz="4" w:space="0" w:color="000000"/>
              <w:left w:val="single" w:sz="4" w:space="0" w:color="000000"/>
              <w:bottom w:val="single" w:sz="4" w:space="0" w:color="000000"/>
              <w:right w:val="single" w:sz="4" w:space="0" w:color="000000"/>
            </w:tcBorders>
          </w:tcPr>
          <w:p w14:paraId="54DFF78A" w14:textId="7A653064"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18,294</w:t>
            </w:r>
          </w:p>
        </w:tc>
      </w:tr>
      <w:tr w:rsidR="006319F1" w:rsidRPr="00F97CB0" w14:paraId="7A562044"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3844A91E" w14:textId="58CA4B1D"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Net gains in 2014</w:t>
            </w:r>
          </w:p>
        </w:tc>
        <w:tc>
          <w:tcPr>
            <w:tcW w:w="1560" w:type="dxa"/>
            <w:tcBorders>
              <w:top w:val="single" w:sz="4" w:space="0" w:color="000000"/>
              <w:left w:val="single" w:sz="4" w:space="0" w:color="000000"/>
              <w:bottom w:val="single" w:sz="4" w:space="0" w:color="000000"/>
              <w:right w:val="single" w:sz="4" w:space="0" w:color="000000"/>
            </w:tcBorders>
          </w:tcPr>
          <w:p w14:paraId="3D18C54E" w14:textId="16FE6B42"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5,521</w:t>
            </w:r>
          </w:p>
        </w:tc>
      </w:tr>
      <w:tr w:rsidR="006319F1" w:rsidRPr="00F97CB0" w14:paraId="6178F902"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5520D639" w14:textId="63B07BDD"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 as of 31 December 2014</w:t>
            </w:r>
          </w:p>
        </w:tc>
        <w:tc>
          <w:tcPr>
            <w:tcW w:w="1560" w:type="dxa"/>
            <w:tcBorders>
              <w:top w:val="single" w:sz="4" w:space="0" w:color="000000"/>
              <w:left w:val="single" w:sz="4" w:space="0" w:color="000000"/>
              <w:bottom w:val="single" w:sz="4" w:space="0" w:color="000000"/>
              <w:right w:val="single" w:sz="4" w:space="0" w:color="000000"/>
            </w:tcBorders>
          </w:tcPr>
          <w:p w14:paraId="67C73CEB" w14:textId="3965916D"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23,815</w:t>
            </w:r>
          </w:p>
        </w:tc>
      </w:tr>
      <w:tr w:rsidR="006319F1" w:rsidRPr="00F97CB0" w14:paraId="4D75F8E1"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78F5A24E" w14:textId="048CAF72"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Distribution of net gains from 2014</w:t>
            </w:r>
          </w:p>
        </w:tc>
        <w:tc>
          <w:tcPr>
            <w:tcW w:w="1560" w:type="dxa"/>
            <w:tcBorders>
              <w:top w:val="single" w:sz="4" w:space="0" w:color="000000"/>
              <w:left w:val="single" w:sz="4" w:space="0" w:color="000000"/>
              <w:bottom w:val="single" w:sz="4" w:space="0" w:color="000000"/>
              <w:right w:val="single" w:sz="4" w:space="0" w:color="000000"/>
            </w:tcBorders>
          </w:tcPr>
          <w:p w14:paraId="02608FB6" w14:textId="0888E342" w:rsidR="006319F1" w:rsidRPr="00F97CB0" w:rsidRDefault="006319F1" w:rsidP="00721F69">
            <w:pPr>
              <w:ind w:right="62"/>
              <w:jc w:val="right"/>
              <w:rPr>
                <w:rFonts w:ascii="Times New Roman" w:eastAsia="Times New Roman" w:hAnsi="Times New Roman" w:cs="Times New Roman"/>
                <w:color w:val="000000"/>
                <w:sz w:val="24"/>
              </w:rPr>
            </w:pPr>
            <w:r w:rsidRPr="00F97CB0">
              <w:rPr>
                <w:rFonts w:ascii="Times New Roman" w:hAnsi="Times New Roman"/>
                <w:color w:val="000000"/>
                <w:sz w:val="24"/>
              </w:rPr>
              <w:t>(5,522)</w:t>
            </w:r>
          </w:p>
        </w:tc>
      </w:tr>
      <w:tr w:rsidR="006319F1" w:rsidRPr="00F97CB0" w14:paraId="3BEF741F" w14:textId="77777777" w:rsidTr="00882CF8">
        <w:trPr>
          <w:trHeight w:val="312"/>
        </w:trPr>
        <w:tc>
          <w:tcPr>
            <w:tcW w:w="7377" w:type="dxa"/>
            <w:tcBorders>
              <w:top w:val="single" w:sz="4" w:space="0" w:color="000000"/>
              <w:left w:val="single" w:sz="4" w:space="0" w:color="000000"/>
              <w:bottom w:val="single" w:sz="4" w:space="0" w:color="000000"/>
              <w:right w:val="single" w:sz="4" w:space="0" w:color="000000"/>
            </w:tcBorders>
          </w:tcPr>
          <w:p w14:paraId="41D9BFAF" w14:textId="243359F2"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Share capital</w:t>
            </w:r>
          </w:p>
        </w:tc>
        <w:tc>
          <w:tcPr>
            <w:tcW w:w="1560" w:type="dxa"/>
            <w:tcBorders>
              <w:top w:val="single" w:sz="4" w:space="0" w:color="000000"/>
              <w:left w:val="single" w:sz="4" w:space="0" w:color="000000"/>
              <w:bottom w:val="single" w:sz="4" w:space="0" w:color="000000"/>
              <w:right w:val="single" w:sz="4" w:space="0" w:color="000000"/>
            </w:tcBorders>
          </w:tcPr>
          <w:p w14:paraId="599B754A" w14:textId="06831A98"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442</w:t>
            </w:r>
          </w:p>
        </w:tc>
      </w:tr>
      <w:tr w:rsidR="006319F1" w:rsidRPr="00F97CB0" w14:paraId="63B802C6"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6C4693BD" w14:textId="610E4EDC"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State-owned capital</w:t>
            </w:r>
          </w:p>
        </w:tc>
        <w:tc>
          <w:tcPr>
            <w:tcW w:w="1560" w:type="dxa"/>
            <w:tcBorders>
              <w:top w:val="single" w:sz="4" w:space="0" w:color="000000"/>
              <w:left w:val="single" w:sz="4" w:space="0" w:color="000000"/>
              <w:bottom w:val="single" w:sz="4" w:space="0" w:color="000000"/>
              <w:right w:val="single" w:sz="4" w:space="0" w:color="000000"/>
            </w:tcBorders>
          </w:tcPr>
          <w:p w14:paraId="6A9EA8A0" w14:textId="6E9FF4DC"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5,080</w:t>
            </w:r>
          </w:p>
        </w:tc>
      </w:tr>
      <w:tr w:rsidR="006319F1" w:rsidRPr="00F97CB0" w14:paraId="799CC874"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254F616A" w14:textId="7CF445BB"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color w:val="000000"/>
                <w:sz w:val="24"/>
              </w:rPr>
              <w:t>Net gains in 2015</w:t>
            </w:r>
          </w:p>
        </w:tc>
        <w:tc>
          <w:tcPr>
            <w:tcW w:w="1560" w:type="dxa"/>
            <w:tcBorders>
              <w:top w:val="single" w:sz="4" w:space="0" w:color="000000"/>
              <w:left w:val="single" w:sz="4" w:space="0" w:color="000000"/>
              <w:bottom w:val="single" w:sz="4" w:space="0" w:color="000000"/>
              <w:right w:val="single" w:sz="4" w:space="0" w:color="000000"/>
            </w:tcBorders>
          </w:tcPr>
          <w:p w14:paraId="7158E02B" w14:textId="09818C3E"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color w:val="000000"/>
                <w:sz w:val="24"/>
              </w:rPr>
              <w:t>5,776</w:t>
            </w:r>
          </w:p>
        </w:tc>
      </w:tr>
      <w:tr w:rsidR="006319F1" w:rsidRPr="00F97CB0" w14:paraId="4F5FB707" w14:textId="77777777" w:rsidTr="00882CF8">
        <w:trPr>
          <w:trHeight w:val="310"/>
        </w:trPr>
        <w:tc>
          <w:tcPr>
            <w:tcW w:w="7377" w:type="dxa"/>
            <w:tcBorders>
              <w:top w:val="single" w:sz="4" w:space="0" w:color="000000"/>
              <w:left w:val="single" w:sz="4" w:space="0" w:color="000000"/>
              <w:bottom w:val="single" w:sz="4" w:space="0" w:color="000000"/>
              <w:right w:val="single" w:sz="4" w:space="0" w:color="000000"/>
            </w:tcBorders>
          </w:tcPr>
          <w:p w14:paraId="0EC30DA5" w14:textId="422401C8" w:rsidR="006319F1" w:rsidRPr="00F97CB0" w:rsidRDefault="006319F1" w:rsidP="00610346">
            <w:pPr>
              <w:jc w:val="both"/>
              <w:rPr>
                <w:rFonts w:ascii="Times New Roman" w:eastAsia="Times New Roman" w:hAnsi="Times New Roman" w:cs="Times New Roman"/>
                <w:color w:val="000000"/>
                <w:sz w:val="24"/>
              </w:rPr>
            </w:pPr>
            <w:r w:rsidRPr="00F97CB0">
              <w:rPr>
                <w:rFonts w:ascii="Times New Roman" w:hAnsi="Times New Roman"/>
                <w:b/>
                <w:color w:val="000000"/>
                <w:sz w:val="24"/>
              </w:rPr>
              <w:t>Total</w:t>
            </w:r>
          </w:p>
        </w:tc>
        <w:tc>
          <w:tcPr>
            <w:tcW w:w="1560" w:type="dxa"/>
            <w:tcBorders>
              <w:top w:val="single" w:sz="4" w:space="0" w:color="000000"/>
              <w:left w:val="single" w:sz="4" w:space="0" w:color="000000"/>
              <w:bottom w:val="single" w:sz="4" w:space="0" w:color="000000"/>
              <w:right w:val="single" w:sz="4" w:space="0" w:color="000000"/>
            </w:tcBorders>
          </w:tcPr>
          <w:p w14:paraId="6BEF1E06" w14:textId="49EDE4CA" w:rsidR="006319F1" w:rsidRPr="00F97CB0" w:rsidRDefault="006319F1" w:rsidP="00721F69">
            <w:pPr>
              <w:ind w:right="60"/>
              <w:jc w:val="right"/>
              <w:rPr>
                <w:rFonts w:ascii="Times New Roman" w:eastAsia="Times New Roman" w:hAnsi="Times New Roman" w:cs="Times New Roman"/>
                <w:color w:val="000000"/>
                <w:sz w:val="24"/>
              </w:rPr>
            </w:pPr>
            <w:r w:rsidRPr="00F97CB0">
              <w:rPr>
                <w:rFonts w:ascii="Times New Roman" w:hAnsi="Times New Roman"/>
                <w:b/>
                <w:color w:val="000000"/>
                <w:sz w:val="24"/>
              </w:rPr>
              <w:t>24,069</w:t>
            </w:r>
          </w:p>
        </w:tc>
      </w:tr>
    </w:tbl>
    <w:p w14:paraId="25FD6248" w14:textId="77777777" w:rsidR="006319F1" w:rsidRPr="00F97CB0" w:rsidRDefault="006319F1" w:rsidP="00610346">
      <w:pPr>
        <w:spacing w:after="93"/>
        <w:jc w:val="both"/>
        <w:rPr>
          <w:rFonts w:ascii="Times New Roman" w:eastAsia="Times New Roman" w:hAnsi="Times New Roman" w:cs="Times New Roman"/>
          <w:color w:val="000000"/>
          <w:sz w:val="24"/>
        </w:rPr>
      </w:pPr>
      <w:r w:rsidRPr="00F97CB0">
        <w:rPr>
          <w:rFonts w:ascii="Times New Roman" w:hAnsi="Times New Roman"/>
          <w:color w:val="000000"/>
          <w:sz w:val="16"/>
        </w:rPr>
        <w:t xml:space="preserve"> </w:t>
      </w:r>
    </w:p>
    <w:p w14:paraId="04B03CBA" w14:textId="466EF10D" w:rsidR="006319F1" w:rsidRPr="00F97CB0" w:rsidRDefault="006319F1" w:rsidP="00494AE5">
      <w:pPr>
        <w:spacing w:after="5" w:line="267" w:lineRule="auto"/>
        <w:ind w:left="24" w:right="55" w:firstLine="696"/>
        <w:jc w:val="both"/>
        <w:rPr>
          <w:rFonts w:ascii="Times New Roman" w:eastAsia="Times New Roman" w:hAnsi="Times New Roman" w:cs="Times New Roman"/>
          <w:color w:val="000000"/>
          <w:sz w:val="24"/>
        </w:rPr>
      </w:pPr>
      <w:r w:rsidRPr="00F97CB0">
        <w:rPr>
          <w:rFonts w:ascii="Times New Roman" w:hAnsi="Times New Roman"/>
          <w:color w:val="000000"/>
          <w:sz w:val="24"/>
        </w:rPr>
        <w:t>By decision of the General Meeting of the Company of 4 July 2015 for the distribution of gains according to the final account for the year 2014, it was determined that the realized net gains are distributed for the financing of investments in accordance with Article 16(3) of the Law on the Budget of the Republic of Serbia for the year 2015.</w:t>
      </w:r>
    </w:p>
    <w:p w14:paraId="686CA940" w14:textId="77777777" w:rsidR="005A0FC0" w:rsidRPr="00F97CB0" w:rsidRDefault="006319F1" w:rsidP="00641CA1">
      <w:pPr>
        <w:spacing w:after="103"/>
        <w:jc w:val="both"/>
        <w:rPr>
          <w:rFonts w:ascii="Times New Roman" w:eastAsia="Times New Roman" w:hAnsi="Times New Roman" w:cs="Times New Roman"/>
          <w:color w:val="000000"/>
          <w:sz w:val="16"/>
        </w:rPr>
      </w:pPr>
      <w:r w:rsidRPr="00F97CB0">
        <w:rPr>
          <w:rFonts w:ascii="Times New Roman" w:hAnsi="Times New Roman"/>
          <w:color w:val="000000"/>
          <w:sz w:val="16"/>
        </w:rPr>
        <w:t xml:space="preserve"> </w:t>
      </w:r>
    </w:p>
    <w:p w14:paraId="0B8E74F3" w14:textId="29224722" w:rsidR="006319F1" w:rsidRPr="00F97CB0" w:rsidRDefault="006319F1" w:rsidP="00494AE5">
      <w:pPr>
        <w:spacing w:after="103"/>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The General Meeting of the Company have not adopted decisions on the increase of the capital stock.</w:t>
      </w:r>
    </w:p>
    <w:p w14:paraId="13DA379D" w14:textId="28B26DD6" w:rsidR="006319F1" w:rsidRPr="00F97CB0" w:rsidRDefault="006319F1" w:rsidP="001F17BD">
      <w:pPr>
        <w:spacing w:after="100"/>
        <w:ind w:firstLine="720"/>
        <w:jc w:val="both"/>
        <w:rPr>
          <w:rFonts w:ascii="Times New Roman" w:eastAsia="Times New Roman" w:hAnsi="Times New Roman" w:cs="Times New Roman"/>
          <w:color w:val="000000"/>
          <w:sz w:val="24"/>
        </w:rPr>
      </w:pPr>
      <w:r w:rsidRPr="00F97CB0">
        <w:rPr>
          <w:rFonts w:ascii="Times New Roman" w:hAnsi="Times New Roman"/>
          <w:color w:val="000000"/>
          <w:sz w:val="24"/>
        </w:rPr>
        <w:t>The Company intends to use the mentioned gains, as well as the gains from previous years, to finance the construction of a facility for applied scientific and research activities, partly with its own funds and partly using the funds of the Ministry of Education, Science and Technological Development. The request to the Ministry of Education, Science and Technological Development for financing the construction of the facility was submitted on 11 September 2015.</w:t>
      </w:r>
    </w:p>
    <w:p w14:paraId="0E4EDFBC" w14:textId="77777777" w:rsidR="00A94049" w:rsidRPr="00F97CB0" w:rsidRDefault="00A94049" w:rsidP="00610346">
      <w:pPr>
        <w:spacing w:after="96"/>
        <w:jc w:val="both"/>
        <w:rPr>
          <w:rFonts w:ascii="Times New Roman" w:eastAsia="Times New Roman" w:hAnsi="Times New Roman" w:cs="Times New Roman"/>
          <w:color w:val="000000"/>
          <w:sz w:val="16"/>
        </w:rPr>
      </w:pPr>
    </w:p>
    <w:p w14:paraId="36E2D08F" w14:textId="762436B4" w:rsidR="004C6AAC" w:rsidRPr="00F97CB0" w:rsidRDefault="004C6AAC" w:rsidP="00606717">
      <w:pPr>
        <w:pStyle w:val="Heading1"/>
        <w:numPr>
          <w:ilvl w:val="0"/>
          <w:numId w:val="13"/>
        </w:numPr>
        <w:rPr>
          <w:rFonts w:ascii="Times New Roman" w:eastAsia="Times New Roman" w:hAnsi="Times New Roman" w:cs="Times New Roman"/>
          <w:b/>
          <w:color w:val="000000"/>
        </w:rPr>
      </w:pPr>
      <w:bookmarkStart w:id="8" w:name="_Toc112590374"/>
      <w:r w:rsidRPr="00F97CB0">
        <w:rPr>
          <w:rFonts w:ascii="Times New Roman" w:hAnsi="Times New Roman"/>
          <w:b/>
        </w:rPr>
        <w:t>PROCEDURE OF PRIVATISATION OF THE JAROSLAV ČERNI WATER INSTITUTE</w:t>
      </w:r>
      <w:r w:rsidR="00222264" w:rsidRPr="00F97CB0">
        <w:rPr>
          <w:rFonts w:ascii="Times New Roman" w:hAnsi="Times New Roman"/>
          <w:b/>
        </w:rPr>
        <w:t>,</w:t>
      </w:r>
      <w:r w:rsidRPr="00F97CB0">
        <w:rPr>
          <w:rFonts w:ascii="Times New Roman" w:hAnsi="Times New Roman"/>
          <w:b/>
        </w:rPr>
        <w:t xml:space="preserve"> BELGRADE</w:t>
      </w:r>
      <w:bookmarkEnd w:id="8"/>
    </w:p>
    <w:p w14:paraId="171DAD68" w14:textId="68922A1F" w:rsidR="004C6AAC" w:rsidRPr="00F97CB0" w:rsidRDefault="004C6AAC" w:rsidP="00610346">
      <w:pPr>
        <w:jc w:val="both"/>
        <w:rPr>
          <w:rFonts w:ascii="Times New Roman" w:hAnsi="Times New Roman" w:cs="Times New Roman"/>
          <w:sz w:val="24"/>
          <w:szCs w:val="24"/>
        </w:rPr>
      </w:pPr>
    </w:p>
    <w:p w14:paraId="6CD0487D" w14:textId="765B73AF" w:rsidR="00E60771" w:rsidRPr="00F97CB0" w:rsidRDefault="00E60771" w:rsidP="00606717">
      <w:pPr>
        <w:pStyle w:val="NoSpacing"/>
        <w:ind w:firstLine="720"/>
        <w:jc w:val="both"/>
        <w:rPr>
          <w:rFonts w:ascii="Times New Roman" w:hAnsi="Times New Roman" w:cs="Times New Roman"/>
          <w:sz w:val="24"/>
          <w:szCs w:val="24"/>
        </w:rPr>
      </w:pPr>
      <w:r w:rsidRPr="00F97CB0">
        <w:rPr>
          <w:rFonts w:ascii="Times New Roman" w:hAnsi="Times New Roman"/>
          <w:sz w:val="24"/>
        </w:rPr>
        <w:t>The initiative for the privatisation of the Jaroslav Černi Water Institute, joint stock company, Belgrade was initiated by the Conclusion of the Government of the Republic of Serbia of 17 December 2020.</w:t>
      </w:r>
    </w:p>
    <w:p w14:paraId="6B2FAF31" w14:textId="71AFAD04" w:rsidR="0021154C" w:rsidRPr="00F97CB0" w:rsidRDefault="001D3EDB" w:rsidP="00606717">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On 21 May 2021, the Ministry of Economy made a public invitation to collect letters of interest in participating in the privatisation procedure of the privatisation</w:t>
      </w:r>
      <w:r w:rsidR="007D59AA">
        <w:rPr>
          <w:rFonts w:ascii="Times New Roman" w:hAnsi="Times New Roman" w:cs="Times New Roman"/>
          <w:sz w:val="24"/>
          <w:szCs w:val="24"/>
        </w:rPr>
        <w:t xml:space="preserve"> entity</w:t>
      </w:r>
      <w:r w:rsidRPr="00F97CB0">
        <w:rPr>
          <w:rFonts w:ascii="Times New Roman" w:hAnsi="Times New Roman" w:cs="Times New Roman"/>
          <w:sz w:val="24"/>
          <w:szCs w:val="24"/>
        </w:rPr>
        <w:t xml:space="preserve"> Jaroslav Černi </w:t>
      </w:r>
      <w:r w:rsidRPr="00F97CB0">
        <w:rPr>
          <w:rFonts w:ascii="Times New Roman" w:hAnsi="Times New Roman" w:cs="Times New Roman"/>
          <w:sz w:val="24"/>
          <w:szCs w:val="24"/>
        </w:rPr>
        <w:lastRenderedPageBreak/>
        <w:t>Water Institute, joint stock company, Belgrade, by which it invited all interested investors to submit a letter of interest in participating in the process of privatisation of the Institute.</w:t>
      </w:r>
      <w:r w:rsidR="00606717" w:rsidRPr="00F97CB0">
        <w:rPr>
          <w:rFonts w:ascii="Times New Roman" w:hAnsi="Times New Roman" w:cs="Times New Roman"/>
          <w:sz w:val="24"/>
          <w:szCs w:val="24"/>
          <w:vertAlign w:val="superscript"/>
        </w:rPr>
        <w:footnoteReference w:id="15"/>
      </w:r>
    </w:p>
    <w:p w14:paraId="37CA0BA4" w14:textId="1E63047E" w:rsidR="008D18D3" w:rsidRPr="00F97CB0" w:rsidRDefault="0065396B" w:rsidP="00606717">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In the Conclusion of the Government of the Republic of Serbia of 5 August 2021, it was determined that the privatisation procedure of the Institute will be carried out using the capital sale model and the method of public collection of bids with subsequent public bidding</w:t>
      </w:r>
      <w:r w:rsidR="00FD54F2" w:rsidRPr="00F97CB0">
        <w:rPr>
          <w:rFonts w:ascii="Times New Roman" w:hAnsi="Times New Roman" w:cs="Times New Roman"/>
          <w:sz w:val="24"/>
          <w:szCs w:val="24"/>
        </w:rPr>
        <w:t>.</w:t>
      </w:r>
    </w:p>
    <w:p w14:paraId="7938FD6F" w14:textId="3906533F" w:rsidR="005A0FC0" w:rsidRPr="00F97CB0" w:rsidRDefault="005A0FC0" w:rsidP="00606717">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The letter of interest shall contain basic information about the interested investor, an expression of interest in participating in the privatisation procedure and a proposed privatisation model, proposed indicative price, an investment program, a framework plan of operation and the number of employees from and outside the privatisation</w:t>
      </w:r>
      <w:r w:rsidR="007D59AA">
        <w:rPr>
          <w:rFonts w:ascii="Times New Roman" w:hAnsi="Times New Roman" w:cs="Times New Roman"/>
          <w:sz w:val="24"/>
          <w:szCs w:val="24"/>
        </w:rPr>
        <w:t xml:space="preserve"> entity</w:t>
      </w:r>
      <w:r w:rsidRPr="00F97CB0">
        <w:rPr>
          <w:rFonts w:ascii="Times New Roman" w:hAnsi="Times New Roman" w:cs="Times New Roman"/>
          <w:sz w:val="24"/>
          <w:szCs w:val="24"/>
        </w:rPr>
        <w:t xml:space="preserve"> that the investor is willing to employ.</w:t>
      </w:r>
    </w:p>
    <w:p w14:paraId="1E5C45B3" w14:textId="62611A27" w:rsidR="00B9135B" w:rsidRPr="00F97CB0" w:rsidRDefault="00434BB7" w:rsidP="00606717">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Letters of interest should have been submitted to the Ministry of Economy by 21 June 2021.</w:t>
      </w:r>
    </w:p>
    <w:p w14:paraId="648E6903" w14:textId="68A45970" w:rsidR="008D18D3" w:rsidRPr="00F97CB0" w:rsidRDefault="00E412A7" w:rsidP="00606717">
      <w:pPr>
        <w:pStyle w:val="NoSpacing"/>
        <w:ind w:firstLine="720"/>
        <w:jc w:val="both"/>
        <w:rPr>
          <w:rFonts w:ascii="Times New Roman" w:hAnsi="Times New Roman" w:cs="Times New Roman"/>
        </w:rPr>
      </w:pPr>
      <w:r w:rsidRPr="00F97CB0">
        <w:rPr>
          <w:rFonts w:ascii="Times New Roman" w:hAnsi="Times New Roman" w:cs="Times New Roman"/>
          <w:sz w:val="24"/>
          <w:szCs w:val="24"/>
        </w:rPr>
        <w:t>Previously, before the public invitation of the Ministry of Economy to collect letters of interest in participating in the privatisation procedure</w:t>
      </w:r>
      <w:r w:rsidRPr="00F97CB0">
        <w:rPr>
          <w:rFonts w:ascii="Times New Roman" w:hAnsi="Times New Roman"/>
          <w:sz w:val="24"/>
        </w:rPr>
        <w:t xml:space="preserve"> of the privatisation</w:t>
      </w:r>
      <w:r w:rsidR="007D59AA">
        <w:rPr>
          <w:rFonts w:ascii="Times New Roman" w:hAnsi="Times New Roman"/>
          <w:sz w:val="24"/>
        </w:rPr>
        <w:t xml:space="preserve"> </w:t>
      </w:r>
      <w:r w:rsidR="007D59AA">
        <w:rPr>
          <w:rFonts w:ascii="Times New Roman" w:hAnsi="Times New Roman" w:cs="Times New Roman"/>
          <w:sz w:val="24"/>
          <w:szCs w:val="24"/>
        </w:rPr>
        <w:t>entity</w:t>
      </w:r>
      <w:r w:rsidRPr="00F97CB0">
        <w:rPr>
          <w:rFonts w:ascii="Times New Roman" w:hAnsi="Times New Roman"/>
          <w:sz w:val="24"/>
        </w:rPr>
        <w:t xml:space="preserve"> Jaroslav Černi Water Institute, joint stock company, the Government of the Republic of Serbia informed the Republic Pension and Disability Insurance Fund</w:t>
      </w:r>
      <w:r w:rsidR="00606717" w:rsidRPr="00F97CB0">
        <w:rPr>
          <w:rStyle w:val="FootnoteReference"/>
          <w:rFonts w:ascii="Times New Roman" w:hAnsi="Times New Roman" w:cs="Times New Roman"/>
          <w:sz w:val="24"/>
          <w:szCs w:val="24"/>
        </w:rPr>
        <w:footnoteReference w:id="16"/>
      </w:r>
      <w:r w:rsidRPr="00F97CB0">
        <w:rPr>
          <w:rFonts w:ascii="Times New Roman" w:hAnsi="Times New Roman"/>
          <w:sz w:val="24"/>
        </w:rPr>
        <w:t xml:space="preserve"> that on the basis of section II point 1 of the Procedure on linking of pensionable services for employees and former employees in privatisation</w:t>
      </w:r>
      <w:r w:rsidR="008C6E5B">
        <w:rPr>
          <w:rFonts w:ascii="Times New Roman" w:hAnsi="Times New Roman"/>
          <w:sz w:val="24"/>
        </w:rPr>
        <w:t xml:space="preserve"> entities</w:t>
      </w:r>
      <w:r w:rsidRPr="00F97CB0">
        <w:rPr>
          <w:rFonts w:ascii="Times New Roman" w:hAnsi="Times New Roman"/>
          <w:sz w:val="24"/>
        </w:rPr>
        <w:t xml:space="preserve"> and undertakings for professional rehabilitation and employment of persons with disabilities who cannot be entitled to pensions entitlement, it adopted Conclusion 05 No. 113 -2312/21 of 18 March 2021 on giving assent for linking of pensionable services for certain categories of employees and former employees in privatisation</w:t>
      </w:r>
      <w:r w:rsidR="008C6E5B">
        <w:rPr>
          <w:rFonts w:ascii="Times New Roman" w:hAnsi="Times New Roman"/>
          <w:sz w:val="24"/>
        </w:rPr>
        <w:t xml:space="preserve"> entities</w:t>
      </w:r>
      <w:r w:rsidRPr="00F97CB0">
        <w:rPr>
          <w:rFonts w:ascii="Times New Roman" w:hAnsi="Times New Roman"/>
          <w:sz w:val="24"/>
        </w:rPr>
        <w:t xml:space="preserve"> that, on 31 December 2020, are undergoing the privatisation process.</w:t>
      </w:r>
      <w:bookmarkStart w:id="9" w:name="_Hlk90642705"/>
    </w:p>
    <w:bookmarkEnd w:id="9"/>
    <w:p w14:paraId="525FD421" w14:textId="7BFA3096" w:rsidR="00891786" w:rsidRPr="00F97CB0" w:rsidRDefault="008D18D3"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mentioned Conclusion of the Government of the Republic of Serbia covers 79 </w:t>
      </w:r>
      <w:r w:rsidR="008C6E5B">
        <w:rPr>
          <w:rFonts w:ascii="Times New Roman" w:hAnsi="Times New Roman"/>
          <w:sz w:val="24"/>
        </w:rPr>
        <w:t>pri</w:t>
      </w:r>
      <w:r w:rsidRPr="00F97CB0">
        <w:rPr>
          <w:rFonts w:ascii="Times New Roman" w:hAnsi="Times New Roman"/>
          <w:sz w:val="24"/>
        </w:rPr>
        <w:t>vatisation</w:t>
      </w:r>
      <w:r w:rsidR="008C6E5B">
        <w:rPr>
          <w:rFonts w:ascii="Times New Roman" w:hAnsi="Times New Roman"/>
          <w:sz w:val="24"/>
        </w:rPr>
        <w:t xml:space="preserve"> entities</w:t>
      </w:r>
      <w:r w:rsidRPr="00F97CB0">
        <w:rPr>
          <w:rFonts w:ascii="Times New Roman" w:hAnsi="Times New Roman"/>
          <w:sz w:val="24"/>
        </w:rPr>
        <w:t>, including the Jaroslav Černi Water Institute, joint stock company, Belgrade. The Ministry of Economy has initiated the procedure of privatisation of the Jaroslav Černi Water Institute, joint stock company, Belgrade, on 1 October 2021</w:t>
      </w:r>
      <w:r w:rsidR="00891786" w:rsidRPr="00F97CB0">
        <w:rPr>
          <w:rStyle w:val="FootnoteReference"/>
          <w:rFonts w:ascii="Times New Roman" w:hAnsi="Times New Roman" w:cs="Times New Roman"/>
          <w:sz w:val="24"/>
          <w:szCs w:val="24"/>
        </w:rPr>
        <w:footnoteReference w:id="17"/>
      </w:r>
      <w:r w:rsidRPr="00F97CB0">
        <w:rPr>
          <w:rFonts w:ascii="Times New Roman" w:hAnsi="Times New Roman"/>
          <w:sz w:val="24"/>
        </w:rPr>
        <w:t>, stating that the right to participate in the procedure of sale shall have domestic or foreign legal entities which fulfil the qualification conditions which in each of the last three business years, 2018, 2019 and 2020, have generated income of at least thirty million euros and which have reported a business profit in the same period.</w:t>
      </w:r>
    </w:p>
    <w:p w14:paraId="6ECBBC91" w14:textId="1F432D3C" w:rsidR="00F92DED" w:rsidRPr="00F97CB0" w:rsidRDefault="00F95489"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Right to participate in the privatisation had also consortiums of legal entities and legal and natural persons in which a member of the consortium that is a legal entity owns more than 50% of the share in the consortium.</w:t>
      </w:r>
    </w:p>
    <w:p w14:paraId="14D7E4D8" w14:textId="109E2D79" w:rsidR="009738DC" w:rsidRPr="00F97CB0" w:rsidRDefault="00F95489" w:rsidP="00891786">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As regards the capital structure, 92.00239% of the capital is owned by the Republic of Serbia, and 7.99761% of the capital (80,400 shares) is owned by natural persons.</w:t>
      </w:r>
      <w:bookmarkStart w:id="10" w:name="_Hlk90642667"/>
    </w:p>
    <w:bookmarkEnd w:id="10"/>
    <w:p w14:paraId="5813E2DB" w14:textId="31314A49" w:rsidR="009738DC" w:rsidRPr="00F97CB0" w:rsidRDefault="009738DC"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subject of the sale is a block of shares consisting of 924,900 shares owned by the Republic of Serbia, </w:t>
      </w:r>
      <w:r w:rsidR="00A171A3" w:rsidRPr="00F97CB0">
        <w:rPr>
          <w:rFonts w:ascii="Times New Roman" w:hAnsi="Times New Roman"/>
          <w:sz w:val="24"/>
        </w:rPr>
        <w:t>i.e.,</w:t>
      </w:r>
      <w:r w:rsidRPr="00F97CB0">
        <w:rPr>
          <w:rFonts w:ascii="Times New Roman" w:hAnsi="Times New Roman"/>
          <w:sz w:val="24"/>
        </w:rPr>
        <w:t xml:space="preserve"> 92.00239% of the capital of the Company.</w:t>
      </w:r>
    </w:p>
    <w:p w14:paraId="58A9E61C" w14:textId="747C7F96" w:rsidR="0074177D" w:rsidRPr="00F97CB0" w:rsidRDefault="00F95489"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According to the report of the authorised assessor, as stated by the Ministry of Economy, the total estimated value of the capital of the privatisation </w:t>
      </w:r>
      <w:r w:rsidR="007D59AA">
        <w:rPr>
          <w:rFonts w:ascii="Times New Roman" w:hAnsi="Times New Roman" w:cs="Times New Roman"/>
          <w:sz w:val="24"/>
          <w:szCs w:val="24"/>
        </w:rPr>
        <w:t>entity</w:t>
      </w:r>
      <w:r w:rsidR="007D59AA" w:rsidRPr="00F97CB0">
        <w:rPr>
          <w:rFonts w:ascii="Times New Roman" w:hAnsi="Times New Roman"/>
          <w:sz w:val="24"/>
        </w:rPr>
        <w:t xml:space="preserve"> </w:t>
      </w:r>
      <w:r w:rsidRPr="00F97CB0">
        <w:rPr>
          <w:rFonts w:ascii="Times New Roman" w:hAnsi="Times New Roman"/>
          <w:sz w:val="24"/>
        </w:rPr>
        <w:t>as of 31 December 31 2020 was 2,800,000 euros.</w:t>
      </w:r>
    </w:p>
    <w:p w14:paraId="06E1BC0C" w14:textId="45C75CAB" w:rsidR="0006131D" w:rsidRPr="00F97CB0" w:rsidRDefault="00222CA4" w:rsidP="00891786">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The initial price for the sale of capital is 100% of the estimated value of the capital of the privatisation</w:t>
      </w:r>
      <w:r w:rsidR="007D59AA">
        <w:rPr>
          <w:rFonts w:ascii="Times New Roman" w:hAnsi="Times New Roman"/>
          <w:sz w:val="24"/>
        </w:rPr>
        <w:t xml:space="preserve"> </w:t>
      </w:r>
      <w:r w:rsidR="007D59AA">
        <w:rPr>
          <w:rFonts w:ascii="Times New Roman" w:hAnsi="Times New Roman" w:cs="Times New Roman"/>
          <w:sz w:val="24"/>
          <w:szCs w:val="24"/>
        </w:rPr>
        <w:t>entity</w:t>
      </w:r>
      <w:r w:rsidRPr="00F97CB0">
        <w:rPr>
          <w:rFonts w:ascii="Times New Roman" w:hAnsi="Times New Roman"/>
          <w:sz w:val="24"/>
        </w:rPr>
        <w:t xml:space="preserve"> as of 31 December 2020, which is offered for sale and amounts to 2,576,066.92 euros.</w:t>
      </w:r>
      <w:bookmarkStart w:id="11" w:name="_Hlk90640903"/>
    </w:p>
    <w:bookmarkEnd w:id="11"/>
    <w:p w14:paraId="012F7E18" w14:textId="79ED461C" w:rsidR="00263D9C" w:rsidRPr="00F97CB0" w:rsidRDefault="00381639"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By statement of 8 November 2021, the Ministry of Economy</w:t>
      </w:r>
      <w:r w:rsidR="00891786" w:rsidRPr="00F97CB0">
        <w:rPr>
          <w:rStyle w:val="FootnoteReference"/>
          <w:rFonts w:ascii="Times New Roman" w:hAnsi="Times New Roman" w:cs="Times New Roman"/>
          <w:sz w:val="24"/>
          <w:szCs w:val="24"/>
        </w:rPr>
        <w:footnoteReference w:id="18"/>
      </w:r>
      <w:r w:rsidRPr="00F97CB0">
        <w:rPr>
          <w:rFonts w:ascii="Times New Roman" w:hAnsi="Times New Roman"/>
          <w:sz w:val="24"/>
        </w:rPr>
        <w:t xml:space="preserve"> informed the public that the first meeting of the Commission for the implementation of the procedure of public collection of bids with subsequent public bidding for the sale of the capital of the Jaroslav Černi Water Institute, joint stock company</w:t>
      </w:r>
      <w:r w:rsidR="00A171A3" w:rsidRPr="00F97CB0">
        <w:rPr>
          <w:rFonts w:ascii="Times New Roman" w:hAnsi="Times New Roman"/>
          <w:sz w:val="24"/>
        </w:rPr>
        <w:t>,</w:t>
      </w:r>
      <w:r w:rsidRPr="00F97CB0">
        <w:rPr>
          <w:rFonts w:ascii="Times New Roman" w:hAnsi="Times New Roman"/>
          <w:sz w:val="24"/>
        </w:rPr>
        <w:t xml:space="preserve"> was held.</w:t>
      </w:r>
    </w:p>
    <w:p w14:paraId="2D9C3CD2" w14:textId="5593D2E5" w:rsidR="0044702A" w:rsidRPr="00F97CB0" w:rsidRDefault="004024A7"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The Commission was obliged to analyse the submitted documentation in the following period, and after that, in accordance with the Regulation on the conditions, procedure and method of sale of capital and assets by the method of public collection of bids with subsequent public bidding, proposal should be made to the Ministry of Economy to make a decision for each participant in the procedure.</w:t>
      </w:r>
    </w:p>
    <w:p w14:paraId="113F8285" w14:textId="7DCC7A13" w:rsidR="00006377" w:rsidRPr="00F97CB0" w:rsidRDefault="004024A7" w:rsidP="00234D9C">
      <w:pPr>
        <w:pStyle w:val="NoSpacing"/>
        <w:ind w:firstLine="720"/>
        <w:jc w:val="both"/>
        <w:rPr>
          <w:rFonts w:ascii="Times New Roman" w:hAnsi="Times New Roman" w:cs="Times New Roman"/>
          <w:b/>
          <w:bCs/>
          <w:sz w:val="24"/>
          <w:szCs w:val="24"/>
        </w:rPr>
      </w:pPr>
      <w:r w:rsidRPr="00F97CB0">
        <w:rPr>
          <w:rFonts w:ascii="Times New Roman" w:hAnsi="Times New Roman"/>
          <w:sz w:val="24"/>
        </w:rPr>
        <w:t>In the statement of the Ministry of Economy it was also specified that the request for the purchase of the sale documents was submitted by 6 legal entities, while two applications were submitted within the deadline for the submission of applications for participation in the procedure.</w:t>
      </w:r>
    </w:p>
    <w:p w14:paraId="7C15F38E" w14:textId="792F6FB1" w:rsidR="00A21F87" w:rsidRPr="00F97CB0" w:rsidRDefault="00503B99" w:rsidP="00891786">
      <w:pPr>
        <w:pStyle w:val="NoSpacing"/>
        <w:ind w:firstLine="720"/>
        <w:jc w:val="both"/>
        <w:rPr>
          <w:rFonts w:ascii="Times New Roman" w:hAnsi="Times New Roman" w:cs="Times New Roman"/>
          <w:b/>
          <w:bCs/>
          <w:sz w:val="24"/>
          <w:szCs w:val="24"/>
        </w:rPr>
      </w:pPr>
      <w:r w:rsidRPr="00F97CB0">
        <w:rPr>
          <w:rFonts w:ascii="Times New Roman" w:hAnsi="Times New Roman"/>
          <w:sz w:val="24"/>
        </w:rPr>
        <w:t xml:space="preserve">After the public statement of the Ministry of Economy of 8 November 2021 that the Commission for the implementation of the procedure of public collection of bids with subsequent public bidding for the sale of the Jaroslav Černi Water Institute, joint stock company, held its first meeting, an extraordinary session of the General Meeting of the Jaroslav Černi Water Institute was scheduled for 19 November 2021, which was preceded by the Decision on supplementing the agenda and the proposed adoption of the following decisions – Decision on the appointment of the executive director Dušan Đurić; Decision on the appointment of the executive director who hold the office of the </w:t>
      </w:r>
      <w:r w:rsidR="00EA5832" w:rsidRPr="00F97CB0">
        <w:rPr>
          <w:rFonts w:ascii="Times New Roman" w:hAnsi="Times New Roman"/>
          <w:sz w:val="24"/>
        </w:rPr>
        <w:t>M</w:t>
      </w:r>
      <w:r w:rsidRPr="00F97CB0">
        <w:rPr>
          <w:rFonts w:ascii="Times New Roman" w:hAnsi="Times New Roman"/>
          <w:sz w:val="24"/>
        </w:rPr>
        <w:t xml:space="preserve">anaging </w:t>
      </w:r>
      <w:r w:rsidR="00EA5832" w:rsidRPr="00F97CB0">
        <w:rPr>
          <w:rFonts w:ascii="Times New Roman" w:hAnsi="Times New Roman"/>
          <w:sz w:val="24"/>
        </w:rPr>
        <w:t>D</w:t>
      </w:r>
      <w:r w:rsidRPr="00F97CB0">
        <w:rPr>
          <w:rFonts w:ascii="Times New Roman" w:hAnsi="Times New Roman"/>
          <w:sz w:val="24"/>
        </w:rPr>
        <w:t xml:space="preserve">irector prof. phD. Dejan Divac; Decision on the appointment of the executive director Mile Božić, PhD; Decision on the appointment of the executive director Dejan Vučković; Decision on the appointment of the executive director Nikola Milivojević, PhD; Decision on the appointment of the </w:t>
      </w:r>
      <w:r w:rsidR="00F97CB0" w:rsidRPr="00F97CB0">
        <w:rPr>
          <w:rFonts w:ascii="Times New Roman" w:hAnsi="Times New Roman"/>
          <w:sz w:val="24"/>
        </w:rPr>
        <w:t>‘</w:t>
      </w:r>
      <w:r w:rsidRPr="00F97CB0">
        <w:rPr>
          <w:rFonts w:ascii="Times New Roman" w:hAnsi="Times New Roman"/>
          <w:sz w:val="24"/>
        </w:rPr>
        <w:t>other representative</w:t>
      </w:r>
      <w:r w:rsidR="00F97CB0" w:rsidRPr="00F97CB0">
        <w:rPr>
          <w:rFonts w:ascii="Times New Roman" w:hAnsi="Times New Roman"/>
          <w:sz w:val="24"/>
        </w:rPr>
        <w:t>’</w:t>
      </w:r>
      <w:r w:rsidRPr="00F97CB0">
        <w:rPr>
          <w:rFonts w:ascii="Times New Roman" w:hAnsi="Times New Roman"/>
          <w:sz w:val="24"/>
        </w:rPr>
        <w:t xml:space="preserve"> Vesna Jevtić; Decision on the appointment of the ‘other representative’ Marta Rokvić.</w:t>
      </w:r>
      <w:r w:rsidR="008205BE" w:rsidRPr="00F97CB0">
        <w:rPr>
          <w:rStyle w:val="FootnoteReference"/>
          <w:rFonts w:ascii="Times New Roman" w:hAnsi="Times New Roman" w:cs="Times New Roman"/>
          <w:sz w:val="24"/>
          <w:szCs w:val="24"/>
        </w:rPr>
        <w:footnoteReference w:id="19"/>
      </w:r>
    </w:p>
    <w:p w14:paraId="452D2CC5" w14:textId="2CA4E610" w:rsidR="00001961" w:rsidRPr="00F97CB0" w:rsidRDefault="00AD1FB0" w:rsidP="00891786">
      <w:pPr>
        <w:pStyle w:val="NoSpacing"/>
        <w:ind w:firstLine="720"/>
        <w:jc w:val="both"/>
        <w:rPr>
          <w:rFonts w:ascii="Times New Roman" w:hAnsi="Times New Roman" w:cs="Times New Roman"/>
          <w:sz w:val="24"/>
          <w:szCs w:val="24"/>
        </w:rPr>
      </w:pPr>
      <w:r w:rsidRPr="00F97CB0">
        <w:rPr>
          <w:rFonts w:ascii="Times New Roman" w:hAnsi="Times New Roman" w:cs="Times New Roman"/>
          <w:sz w:val="24"/>
          <w:szCs w:val="24"/>
        </w:rPr>
        <w:t>In the meantime, it was announced in the media that the directors of the Jaroslav Černi Water Institute agreed to participate in the privatisation process as part of the Consortium they formed in cooperation with the Millennium Team Company, i.e.</w:t>
      </w:r>
      <w:r w:rsidR="00F97CB0" w:rsidRPr="00F97CB0">
        <w:rPr>
          <w:rFonts w:ascii="Times New Roman" w:hAnsi="Times New Roman" w:cs="Times New Roman"/>
          <w:sz w:val="24"/>
          <w:szCs w:val="24"/>
        </w:rPr>
        <w:t>,</w:t>
      </w:r>
      <w:r w:rsidRPr="00F97CB0">
        <w:rPr>
          <w:rFonts w:ascii="Times New Roman" w:hAnsi="Times New Roman" w:cs="Times New Roman"/>
          <w:sz w:val="24"/>
          <w:szCs w:val="24"/>
        </w:rPr>
        <w:t xml:space="preserve"> that the Millennium Team Company offered to the directors of the Institute joint participation in the privatisation of the Institute, which they accepted.</w:t>
      </w:r>
    </w:p>
    <w:p w14:paraId="711B5183" w14:textId="34A54B5D" w:rsidR="00001961" w:rsidRPr="00F97CB0" w:rsidRDefault="00001961"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As stated, the Millennium </w:t>
      </w:r>
      <w:r w:rsidR="00062E74">
        <w:rPr>
          <w:rFonts w:ascii="Times New Roman" w:hAnsi="Times New Roman"/>
          <w:sz w:val="24"/>
        </w:rPr>
        <w:t>T</w:t>
      </w:r>
      <w:r w:rsidRPr="00F97CB0">
        <w:rPr>
          <w:rFonts w:ascii="Times New Roman" w:hAnsi="Times New Roman"/>
          <w:sz w:val="24"/>
        </w:rPr>
        <w:t xml:space="preserve">eam Company offered the management of the Institute the forming of a Consortium in which, apart from the Company, the </w:t>
      </w:r>
      <w:r w:rsidR="00EA5832" w:rsidRPr="00F97CB0">
        <w:rPr>
          <w:rFonts w:ascii="Times New Roman" w:hAnsi="Times New Roman"/>
          <w:sz w:val="24"/>
        </w:rPr>
        <w:t>M</w:t>
      </w:r>
      <w:r w:rsidRPr="00F97CB0">
        <w:rPr>
          <w:rFonts w:ascii="Times New Roman" w:hAnsi="Times New Roman"/>
          <w:sz w:val="24"/>
        </w:rPr>
        <w:t xml:space="preserve">anaging </w:t>
      </w:r>
      <w:r w:rsidR="00EA5832" w:rsidRPr="00F97CB0">
        <w:rPr>
          <w:rFonts w:ascii="Times New Roman" w:hAnsi="Times New Roman"/>
          <w:sz w:val="24"/>
        </w:rPr>
        <w:t>D</w:t>
      </w:r>
      <w:r w:rsidRPr="00F97CB0">
        <w:rPr>
          <w:rFonts w:ascii="Times New Roman" w:hAnsi="Times New Roman"/>
          <w:sz w:val="24"/>
        </w:rPr>
        <w:t>irector of the Institute and the executive directors of the Institute would also be included, whereby natural persons, i.e.</w:t>
      </w:r>
      <w:r w:rsidR="00F97CB0" w:rsidRPr="00F97CB0">
        <w:rPr>
          <w:rFonts w:ascii="Times New Roman" w:hAnsi="Times New Roman"/>
          <w:sz w:val="24"/>
        </w:rPr>
        <w:t>,</w:t>
      </w:r>
      <w:r w:rsidRPr="00F97CB0">
        <w:rPr>
          <w:rFonts w:ascii="Times New Roman" w:hAnsi="Times New Roman"/>
          <w:sz w:val="24"/>
        </w:rPr>
        <w:t xml:space="preserve"> the executive directors</w:t>
      </w:r>
      <w:r w:rsidR="00F97CB0" w:rsidRPr="00F97CB0">
        <w:rPr>
          <w:rFonts w:ascii="Times New Roman" w:hAnsi="Times New Roman"/>
          <w:sz w:val="24"/>
        </w:rPr>
        <w:t>,</w:t>
      </w:r>
      <w:r w:rsidRPr="00F97CB0">
        <w:rPr>
          <w:rFonts w:ascii="Times New Roman" w:hAnsi="Times New Roman"/>
          <w:sz w:val="24"/>
        </w:rPr>
        <w:t xml:space="preserve"> would participate with a total of 30% of the capital in that Consortium.</w:t>
      </w:r>
    </w:p>
    <w:p w14:paraId="092D79A0" w14:textId="3C787F12" w:rsidR="007C2001" w:rsidRPr="00F97CB0" w:rsidRDefault="00316B16" w:rsidP="00BB0D7B">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As it was also stated, the </w:t>
      </w:r>
      <w:r w:rsidR="00EA5832" w:rsidRPr="00F97CB0">
        <w:rPr>
          <w:rFonts w:ascii="Times New Roman" w:hAnsi="Times New Roman"/>
          <w:sz w:val="24"/>
        </w:rPr>
        <w:t>M</w:t>
      </w:r>
      <w:r w:rsidRPr="00F97CB0">
        <w:rPr>
          <w:rFonts w:ascii="Times New Roman" w:hAnsi="Times New Roman"/>
          <w:sz w:val="24"/>
        </w:rPr>
        <w:t xml:space="preserve">anaging </w:t>
      </w:r>
      <w:r w:rsidR="00EA5832" w:rsidRPr="00F97CB0">
        <w:rPr>
          <w:rFonts w:ascii="Times New Roman" w:hAnsi="Times New Roman"/>
          <w:sz w:val="24"/>
        </w:rPr>
        <w:t>D</w:t>
      </w:r>
      <w:r w:rsidRPr="00F97CB0">
        <w:rPr>
          <w:rFonts w:ascii="Times New Roman" w:hAnsi="Times New Roman"/>
          <w:sz w:val="24"/>
        </w:rPr>
        <w:t>irector of the Institute Dejan Divac and the six executive directors decided to accept the offer and informed the employees about it in a letter.</w:t>
      </w:r>
    </w:p>
    <w:p w14:paraId="40130786" w14:textId="2C4DFD53" w:rsidR="00001961" w:rsidRPr="00F97CB0" w:rsidRDefault="00001961"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 the reasoning of the letter to the employees, they stated that the Millennium </w:t>
      </w:r>
      <w:r w:rsidR="00062E74">
        <w:rPr>
          <w:rFonts w:ascii="Times New Roman" w:hAnsi="Times New Roman"/>
          <w:sz w:val="24"/>
        </w:rPr>
        <w:t>T</w:t>
      </w:r>
      <w:r w:rsidRPr="00F97CB0">
        <w:rPr>
          <w:rFonts w:ascii="Times New Roman" w:hAnsi="Times New Roman"/>
          <w:sz w:val="24"/>
        </w:rPr>
        <w:t xml:space="preserve">eam Company informed them that it recognises the current good operation of the Institute, as well as its potential, that it intends to preserve its capacities and that it wants to invest funds in the further development of the Institute, while respecting its main activity and position on the market, reminding at the same time that the Millennium </w:t>
      </w:r>
      <w:r w:rsidR="00062E74">
        <w:rPr>
          <w:rFonts w:ascii="Times New Roman" w:hAnsi="Times New Roman"/>
          <w:sz w:val="24"/>
        </w:rPr>
        <w:t>T</w:t>
      </w:r>
      <w:r w:rsidRPr="00F97CB0">
        <w:rPr>
          <w:rFonts w:ascii="Times New Roman" w:hAnsi="Times New Roman"/>
          <w:sz w:val="24"/>
        </w:rPr>
        <w:t xml:space="preserve">eam and the Institute have been participating together </w:t>
      </w:r>
      <w:r w:rsidRPr="00F97CB0">
        <w:rPr>
          <w:rFonts w:ascii="Times New Roman" w:hAnsi="Times New Roman"/>
          <w:sz w:val="24"/>
        </w:rPr>
        <w:lastRenderedPageBreak/>
        <w:t>in the capital project of construction of the sewage system for two years, and cooperation on other projects is also being prepared.</w:t>
      </w:r>
    </w:p>
    <w:p w14:paraId="3514801D" w14:textId="06E3C85D" w:rsidR="00001961" w:rsidRPr="00F97CB0" w:rsidRDefault="00A56177" w:rsidP="00891786">
      <w:pPr>
        <w:pStyle w:val="NoSpacing"/>
        <w:ind w:firstLine="720"/>
        <w:jc w:val="both"/>
        <w:rPr>
          <w:rFonts w:ascii="Times New Roman" w:hAnsi="Times New Roman" w:cs="Times New Roman"/>
          <w:sz w:val="24"/>
          <w:szCs w:val="24"/>
        </w:rPr>
      </w:pPr>
      <w:r w:rsidRPr="00F97CB0">
        <w:rPr>
          <w:rFonts w:ascii="Times New Roman" w:hAnsi="Times New Roman"/>
          <w:sz w:val="24"/>
          <w:szCs w:val="24"/>
        </w:rPr>
        <w:t>The directors of the Institute emphasised that they found themselves in a challenging and risky situation because they were given the opportunity to assume significant responsibility for the future functioning of the Institute, i.e.</w:t>
      </w:r>
      <w:r w:rsidR="00F97CB0" w:rsidRPr="00F97CB0">
        <w:rPr>
          <w:rFonts w:ascii="Times New Roman" w:hAnsi="Times New Roman"/>
          <w:sz w:val="24"/>
          <w:szCs w:val="24"/>
        </w:rPr>
        <w:t>,</w:t>
      </w:r>
      <w:r w:rsidRPr="00F97CB0">
        <w:rPr>
          <w:rFonts w:ascii="Times New Roman" w:hAnsi="Times New Roman"/>
          <w:sz w:val="24"/>
          <w:szCs w:val="24"/>
        </w:rPr>
        <w:t xml:space="preserve"> to proportionally share the effects of success and failure of future operation, which at the same time means the obligation of proportionate investment in purchasing and later related investing, personal credit borrowing, which they had to engage in in case of a positive outcome, i.e.</w:t>
      </w:r>
      <w:r w:rsidR="009F0ECA">
        <w:rPr>
          <w:rFonts w:ascii="Times New Roman" w:hAnsi="Times New Roman"/>
          <w:sz w:val="24"/>
          <w:szCs w:val="24"/>
        </w:rPr>
        <w:t>,</w:t>
      </w:r>
      <w:r w:rsidRPr="00F97CB0">
        <w:rPr>
          <w:rFonts w:ascii="Times New Roman" w:hAnsi="Times New Roman"/>
          <w:sz w:val="24"/>
          <w:szCs w:val="24"/>
        </w:rPr>
        <w:t xml:space="preserve"> the purchase of the Institute by the Consortium.</w:t>
      </w:r>
    </w:p>
    <w:p w14:paraId="5E56B954" w14:textId="50FCA519" w:rsidR="00891786" w:rsidRPr="00F97CB0" w:rsidRDefault="00001961" w:rsidP="00891786">
      <w:pPr>
        <w:pStyle w:val="NoSpacing"/>
        <w:ind w:firstLine="720"/>
        <w:jc w:val="both"/>
        <w:rPr>
          <w:rFonts w:ascii="Times New Roman" w:hAnsi="Times New Roman" w:cs="Times New Roman"/>
          <w:sz w:val="24"/>
          <w:szCs w:val="24"/>
        </w:rPr>
      </w:pPr>
      <w:r w:rsidRPr="00F97CB0">
        <w:rPr>
          <w:rFonts w:ascii="Times New Roman" w:hAnsi="Times New Roman"/>
          <w:sz w:val="24"/>
        </w:rPr>
        <w:t>They added that in the previous year and current year, despite the pandemic, the Institute achieved significant success, namely stable operation, regular salary payment and growth of salaries, successful fulfilment of all obligations towards clients and subcontractors, a good position on the market and significant contracts.</w:t>
      </w:r>
    </w:p>
    <w:p w14:paraId="4C0E8DAD" w14:textId="543A9F39" w:rsidR="00001961" w:rsidRPr="00F97CB0" w:rsidRDefault="00A56177" w:rsidP="00A56177">
      <w:pPr>
        <w:pStyle w:val="NoSpacing"/>
        <w:ind w:firstLine="720"/>
        <w:jc w:val="both"/>
        <w:rPr>
          <w:rFonts w:ascii="Times New Roman" w:hAnsi="Times New Roman" w:cs="Times New Roman"/>
          <w:sz w:val="24"/>
          <w:szCs w:val="24"/>
        </w:rPr>
      </w:pPr>
      <w:r w:rsidRPr="00F97CB0">
        <w:rPr>
          <w:rFonts w:ascii="Times New Roman" w:hAnsi="Times New Roman"/>
          <w:sz w:val="24"/>
        </w:rPr>
        <w:t>In their letter to employees, the directors emphasised that they expect the Institute in the next year, when it will mark its 75th anniversary, and also in the following period, regardless of the outcome of the initiated privatisation procedure, to continue to carry out professionally all its activities in research, projects and studies, to develop professional potentials, to operate successfully and maintain the role of a key professional and scientific institution in the field of waters in the country and region, in the interest of employees but also in the public interest of all citizens.</w:t>
      </w:r>
      <w:bookmarkStart w:id="12" w:name="_Hlk90643278"/>
    </w:p>
    <w:bookmarkEnd w:id="12"/>
    <w:p w14:paraId="06A97C6E" w14:textId="65D68CB8" w:rsidR="005A3B7A" w:rsidRPr="009F0ECA" w:rsidRDefault="004300B1" w:rsidP="00891786">
      <w:pPr>
        <w:pStyle w:val="NoSpacing"/>
        <w:ind w:firstLine="720"/>
        <w:jc w:val="both"/>
        <w:rPr>
          <w:rFonts w:ascii="Times New Roman" w:hAnsi="Times New Roman" w:cs="Times New Roman"/>
          <w:b/>
          <w:bCs/>
          <w:sz w:val="24"/>
          <w:szCs w:val="24"/>
        </w:rPr>
      </w:pPr>
      <w:r w:rsidRPr="009F0ECA">
        <w:rPr>
          <w:rFonts w:ascii="Times New Roman" w:hAnsi="Times New Roman" w:cs="Times New Roman"/>
          <w:sz w:val="24"/>
          <w:szCs w:val="24"/>
        </w:rPr>
        <w:t xml:space="preserve">After accepting the offer of the Millennium </w:t>
      </w:r>
      <w:r w:rsidR="00062E74">
        <w:rPr>
          <w:rFonts w:ascii="Times New Roman" w:hAnsi="Times New Roman" w:cs="Times New Roman"/>
          <w:sz w:val="24"/>
          <w:szCs w:val="24"/>
        </w:rPr>
        <w:t>T</w:t>
      </w:r>
      <w:r w:rsidRPr="009F0ECA">
        <w:rPr>
          <w:rFonts w:ascii="Times New Roman" w:hAnsi="Times New Roman" w:cs="Times New Roman"/>
          <w:sz w:val="24"/>
          <w:szCs w:val="24"/>
        </w:rPr>
        <w:t xml:space="preserve">eam </w:t>
      </w:r>
      <w:r w:rsidR="009F0ECA">
        <w:rPr>
          <w:rFonts w:ascii="Times New Roman" w:hAnsi="Times New Roman" w:cs="Times New Roman"/>
          <w:sz w:val="24"/>
          <w:szCs w:val="24"/>
        </w:rPr>
        <w:t>C</w:t>
      </w:r>
      <w:r w:rsidRPr="009F0ECA">
        <w:rPr>
          <w:rFonts w:ascii="Times New Roman" w:hAnsi="Times New Roman" w:cs="Times New Roman"/>
          <w:sz w:val="24"/>
          <w:szCs w:val="24"/>
        </w:rPr>
        <w:t xml:space="preserve">ompany, which was made to the </w:t>
      </w:r>
      <w:r w:rsidR="00EA5832" w:rsidRPr="009F0ECA">
        <w:rPr>
          <w:rFonts w:ascii="Times New Roman" w:hAnsi="Times New Roman" w:cs="Times New Roman"/>
          <w:sz w:val="24"/>
          <w:szCs w:val="24"/>
        </w:rPr>
        <w:t>M</w:t>
      </w:r>
      <w:r w:rsidRPr="009F0ECA">
        <w:rPr>
          <w:rFonts w:ascii="Times New Roman" w:hAnsi="Times New Roman" w:cs="Times New Roman"/>
          <w:sz w:val="24"/>
          <w:szCs w:val="24"/>
        </w:rPr>
        <w:t xml:space="preserve">anaging </w:t>
      </w:r>
      <w:r w:rsidR="00EA5832" w:rsidRPr="009F0ECA">
        <w:rPr>
          <w:rFonts w:ascii="Times New Roman" w:hAnsi="Times New Roman" w:cs="Times New Roman"/>
          <w:sz w:val="24"/>
          <w:szCs w:val="24"/>
        </w:rPr>
        <w:t>D</w:t>
      </w:r>
      <w:r w:rsidRPr="009F0ECA">
        <w:rPr>
          <w:rFonts w:ascii="Times New Roman" w:hAnsi="Times New Roman" w:cs="Times New Roman"/>
          <w:sz w:val="24"/>
          <w:szCs w:val="24"/>
        </w:rPr>
        <w:t>irector and other executive directors of the Jaroslav Černi Water Institute, the Ministry of Economy adopted the Decision of 26 November 2021</w:t>
      </w:r>
      <w:r w:rsidR="002F25F4" w:rsidRPr="009F0ECA">
        <w:rPr>
          <w:rFonts w:ascii="Times New Roman" w:hAnsi="Times New Roman" w:cs="Times New Roman"/>
          <w:sz w:val="24"/>
          <w:szCs w:val="24"/>
          <w:vertAlign w:val="superscript"/>
        </w:rPr>
        <w:footnoteReference w:id="20"/>
      </w:r>
      <w:r w:rsidRPr="009F0ECA">
        <w:rPr>
          <w:rFonts w:ascii="Times New Roman" w:hAnsi="Times New Roman" w:cs="Times New Roman"/>
          <w:sz w:val="24"/>
          <w:szCs w:val="24"/>
        </w:rPr>
        <w:t xml:space="preserve">, which in paragraph 1, declares as a buyer the Consortium, which consists of the legal entity Company for Engineering, Production and Services Millennium </w:t>
      </w:r>
      <w:r w:rsidR="00062E74">
        <w:rPr>
          <w:rFonts w:ascii="Times New Roman" w:hAnsi="Times New Roman" w:cs="Times New Roman"/>
          <w:sz w:val="24"/>
          <w:szCs w:val="24"/>
        </w:rPr>
        <w:t>T</w:t>
      </w:r>
      <w:r w:rsidRPr="009F0ECA">
        <w:rPr>
          <w:rFonts w:ascii="Times New Roman" w:hAnsi="Times New Roman" w:cs="Times New Roman"/>
          <w:sz w:val="24"/>
          <w:szCs w:val="24"/>
        </w:rPr>
        <w:t>eam, Belgrade and natural persons as members of the Consortium, in accordance with the Consortium Agreement concluded on 29 October 2021 and certified before the notary public Nikola Vojinović under number UOP-I.9949-2021 of 29 October 2021, in the procedure of public collection of bids with subsequent public bidding for the sale of the capital of the privatisation</w:t>
      </w:r>
      <w:r w:rsidR="007D59AA">
        <w:rPr>
          <w:rFonts w:ascii="Times New Roman" w:hAnsi="Times New Roman" w:cs="Times New Roman"/>
          <w:sz w:val="24"/>
          <w:szCs w:val="24"/>
        </w:rPr>
        <w:t xml:space="preserve"> entity</w:t>
      </w:r>
      <w:r w:rsidRPr="009F0ECA">
        <w:rPr>
          <w:rFonts w:ascii="Times New Roman" w:hAnsi="Times New Roman" w:cs="Times New Roman"/>
          <w:sz w:val="24"/>
          <w:szCs w:val="24"/>
        </w:rPr>
        <w:t xml:space="preserve"> Jaroslav Černi Water Institute, joint stock company, Belgrade.</w:t>
      </w:r>
    </w:p>
    <w:p w14:paraId="50E60890" w14:textId="653E61FB" w:rsidR="007016F0" w:rsidRPr="009F0ECA" w:rsidRDefault="00B92D99" w:rsidP="00891786">
      <w:pPr>
        <w:pStyle w:val="NoSpacing"/>
        <w:ind w:firstLine="720"/>
        <w:jc w:val="both"/>
        <w:rPr>
          <w:rFonts w:ascii="Times New Roman" w:hAnsi="Times New Roman" w:cs="Times New Roman"/>
          <w:sz w:val="24"/>
          <w:szCs w:val="24"/>
        </w:rPr>
      </w:pPr>
      <w:bookmarkStart w:id="13" w:name="_Hlk90717391"/>
      <w:r w:rsidRPr="009F0ECA">
        <w:rPr>
          <w:rFonts w:ascii="Times New Roman" w:hAnsi="Times New Roman" w:cs="Times New Roman"/>
          <w:sz w:val="24"/>
          <w:szCs w:val="24"/>
        </w:rPr>
        <w:t>Paragraph 2 of the Decision declares the participant BAUWESEN</w:t>
      </w:r>
      <w:r w:rsidR="009F0ECA">
        <w:rPr>
          <w:rFonts w:ascii="Times New Roman" w:hAnsi="Times New Roman" w:cs="Times New Roman"/>
          <w:sz w:val="24"/>
          <w:szCs w:val="24"/>
        </w:rPr>
        <w:t>,</w:t>
      </w:r>
      <w:r w:rsidRPr="009F0ECA">
        <w:rPr>
          <w:rFonts w:ascii="Times New Roman" w:hAnsi="Times New Roman" w:cs="Times New Roman"/>
          <w:sz w:val="24"/>
          <w:szCs w:val="24"/>
        </w:rPr>
        <w:t xml:space="preserve"> </w:t>
      </w:r>
      <w:r w:rsidR="009F0ECA">
        <w:rPr>
          <w:rFonts w:ascii="Times New Roman" w:hAnsi="Times New Roman" w:cs="Times New Roman"/>
          <w:sz w:val="24"/>
          <w:szCs w:val="24"/>
        </w:rPr>
        <w:t>l</w:t>
      </w:r>
      <w:r w:rsidRPr="009F0ECA">
        <w:rPr>
          <w:rFonts w:ascii="Times New Roman" w:hAnsi="Times New Roman" w:cs="Times New Roman"/>
          <w:sz w:val="24"/>
          <w:szCs w:val="24"/>
        </w:rPr>
        <w:t xml:space="preserve">imited </w:t>
      </w:r>
      <w:r w:rsidR="009F0ECA">
        <w:rPr>
          <w:rFonts w:ascii="Times New Roman" w:hAnsi="Times New Roman" w:cs="Times New Roman"/>
          <w:sz w:val="24"/>
          <w:szCs w:val="24"/>
        </w:rPr>
        <w:t>l</w:t>
      </w:r>
      <w:r w:rsidRPr="009F0ECA">
        <w:rPr>
          <w:rFonts w:ascii="Times New Roman" w:hAnsi="Times New Roman" w:cs="Times New Roman"/>
          <w:sz w:val="24"/>
          <w:szCs w:val="24"/>
        </w:rPr>
        <w:t xml:space="preserve">iability </w:t>
      </w:r>
      <w:r w:rsidR="009F0ECA">
        <w:rPr>
          <w:rFonts w:ascii="Times New Roman" w:hAnsi="Times New Roman" w:cs="Times New Roman"/>
          <w:sz w:val="24"/>
          <w:szCs w:val="24"/>
        </w:rPr>
        <w:t>c</w:t>
      </w:r>
      <w:r w:rsidRPr="009F0ECA">
        <w:rPr>
          <w:rFonts w:ascii="Times New Roman" w:hAnsi="Times New Roman" w:cs="Times New Roman"/>
          <w:sz w:val="24"/>
          <w:szCs w:val="24"/>
        </w:rPr>
        <w:t>ompany from Lazarevac</w:t>
      </w:r>
      <w:r w:rsidR="009F0ECA">
        <w:rPr>
          <w:rFonts w:ascii="Times New Roman" w:hAnsi="Times New Roman" w:cs="Times New Roman"/>
          <w:sz w:val="24"/>
          <w:szCs w:val="24"/>
        </w:rPr>
        <w:t>,</w:t>
      </w:r>
      <w:r w:rsidRPr="009F0ECA">
        <w:rPr>
          <w:rFonts w:ascii="Times New Roman" w:hAnsi="Times New Roman" w:cs="Times New Roman"/>
          <w:sz w:val="24"/>
          <w:szCs w:val="24"/>
        </w:rPr>
        <w:t xml:space="preserve"> to be the participant that submitted the second highest offer in the procedure of public collection of bids with subsequent public bidding for the sale of the capital of the privatisation</w:t>
      </w:r>
      <w:r w:rsidR="007D59AA">
        <w:rPr>
          <w:rFonts w:ascii="Times New Roman" w:hAnsi="Times New Roman" w:cs="Times New Roman"/>
          <w:sz w:val="24"/>
          <w:szCs w:val="24"/>
        </w:rPr>
        <w:t xml:space="preserve"> entity</w:t>
      </w:r>
      <w:r w:rsidRPr="009F0ECA">
        <w:rPr>
          <w:rFonts w:ascii="Times New Roman" w:hAnsi="Times New Roman" w:cs="Times New Roman"/>
          <w:sz w:val="24"/>
          <w:szCs w:val="24"/>
        </w:rPr>
        <w:t xml:space="preserve"> Jaroslav Černi Water Institute, joint stock company, Belgrade.</w:t>
      </w:r>
    </w:p>
    <w:bookmarkEnd w:id="13"/>
    <w:p w14:paraId="69068B26" w14:textId="77777777" w:rsidR="00A94049" w:rsidRPr="009F0ECA" w:rsidRDefault="00A94049" w:rsidP="00610346">
      <w:pPr>
        <w:jc w:val="both"/>
        <w:rPr>
          <w:rFonts w:ascii="Times New Roman" w:hAnsi="Times New Roman" w:cs="Times New Roman"/>
          <w:b/>
          <w:bCs/>
          <w:sz w:val="24"/>
          <w:szCs w:val="24"/>
        </w:rPr>
      </w:pPr>
    </w:p>
    <w:p w14:paraId="69B0742B" w14:textId="6221FFD4" w:rsidR="007E7820" w:rsidRPr="00F97CB0" w:rsidRDefault="007E7820" w:rsidP="00C35F31">
      <w:pPr>
        <w:pStyle w:val="Heading1"/>
        <w:numPr>
          <w:ilvl w:val="0"/>
          <w:numId w:val="13"/>
        </w:numPr>
        <w:rPr>
          <w:rFonts w:ascii="Times New Roman" w:hAnsi="Times New Roman" w:cs="Times New Roman"/>
          <w:b/>
        </w:rPr>
      </w:pPr>
      <w:bookmarkStart w:id="14" w:name="_Toc112590375"/>
      <w:r w:rsidRPr="00F97CB0">
        <w:rPr>
          <w:rFonts w:ascii="Times New Roman" w:hAnsi="Times New Roman"/>
          <w:b/>
        </w:rPr>
        <w:t>EXPERIENCES OF COUNTRIES IN TRANSITION WITH PRIVATISATION OF WATER MANAGEMENT COMPANIES AND INSTITUTES</w:t>
      </w:r>
      <w:bookmarkEnd w:id="14"/>
    </w:p>
    <w:p w14:paraId="48C37A44" w14:textId="77777777" w:rsidR="00C55C97" w:rsidRPr="00F97CB0" w:rsidRDefault="00C55C97" w:rsidP="00610346">
      <w:pPr>
        <w:jc w:val="both"/>
        <w:rPr>
          <w:rFonts w:ascii="Times New Roman" w:hAnsi="Times New Roman" w:cs="Times New Roman"/>
          <w:sz w:val="24"/>
          <w:szCs w:val="24"/>
        </w:rPr>
      </w:pPr>
    </w:p>
    <w:p w14:paraId="75029549" w14:textId="566C965D" w:rsidR="002D3F9C" w:rsidRPr="00F97CB0" w:rsidRDefault="007E7820" w:rsidP="00F147E5">
      <w:pPr>
        <w:pStyle w:val="NoSpacing"/>
        <w:ind w:firstLine="720"/>
        <w:jc w:val="both"/>
        <w:rPr>
          <w:rFonts w:ascii="Times New Roman" w:hAnsi="Times New Roman" w:cs="Times New Roman"/>
          <w:sz w:val="24"/>
          <w:szCs w:val="24"/>
        </w:rPr>
      </w:pPr>
      <w:r w:rsidRPr="00F97CB0">
        <w:rPr>
          <w:rFonts w:ascii="Times New Roman" w:hAnsi="Times New Roman"/>
          <w:sz w:val="24"/>
        </w:rPr>
        <w:t>Common to all countries that underwent the transition process was that at first, upon entering the transition they had well-organi</w:t>
      </w:r>
      <w:r w:rsidR="00AB6C60" w:rsidRPr="00F97CB0">
        <w:rPr>
          <w:rFonts w:ascii="Times New Roman" w:hAnsi="Times New Roman"/>
          <w:sz w:val="24"/>
        </w:rPr>
        <w:t>s</w:t>
      </w:r>
      <w:r w:rsidRPr="00F97CB0">
        <w:rPr>
          <w:rFonts w:ascii="Times New Roman" w:hAnsi="Times New Roman"/>
          <w:sz w:val="24"/>
        </w:rPr>
        <w:t>ed water management institutions, they had good long-term plans for the development of water management, as well as strong and well-organised companies in charge of building and maintenance of water management systems.</w:t>
      </w:r>
    </w:p>
    <w:p w14:paraId="6E7226C4" w14:textId="3FB847C8" w:rsidR="002D3F9C" w:rsidRPr="00F97CB0" w:rsidRDefault="00A821F5" w:rsidP="00F147E5">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However, all countries came out of the transition with a considerably weakened water sector, involving the sell-off or destruction of water management companies, weakened or inadequate maintenance of existing systems, as well as destruction of documentation in privatised companies.</w:t>
      </w:r>
    </w:p>
    <w:p w14:paraId="1B9EFCA7" w14:textId="1BA69C26" w:rsidR="002D3F9C" w:rsidRPr="00F97CB0" w:rsidRDefault="007E7820" w:rsidP="00F147E5">
      <w:pPr>
        <w:pStyle w:val="NoSpacing"/>
        <w:ind w:firstLine="720"/>
        <w:jc w:val="both"/>
        <w:rPr>
          <w:rFonts w:ascii="Times New Roman" w:hAnsi="Times New Roman" w:cs="Times New Roman"/>
          <w:sz w:val="24"/>
          <w:szCs w:val="24"/>
        </w:rPr>
      </w:pPr>
      <w:r w:rsidRPr="00F97CB0">
        <w:rPr>
          <w:rFonts w:ascii="Times New Roman" w:hAnsi="Times New Roman"/>
          <w:sz w:val="24"/>
        </w:rPr>
        <w:t>In particular, it is typical that assets for the maintenance and development of water systems and water-related research have been drastically reduced, as well as the volume of hydrological measurements and the necessary international cooperation. Since such a situation is unsustainable and will have serious implications for the whole water sector, which is the most vital from the point of view of the survival and development of the society, those countries have a long way to go to restore and reorganise the water sector under the new conditions, following the example of the countries that are well organised in this respect.</w:t>
      </w:r>
      <w:bookmarkStart w:id="15" w:name="_Hlk90643504"/>
      <w:r w:rsidR="00F147E5" w:rsidRPr="00F97CB0">
        <w:rPr>
          <w:rStyle w:val="FootnoteReference"/>
          <w:rFonts w:ascii="Times New Roman" w:hAnsi="Times New Roman" w:cs="Times New Roman"/>
          <w:sz w:val="24"/>
          <w:szCs w:val="24"/>
        </w:rPr>
        <w:footnoteReference w:id="21"/>
      </w:r>
      <w:bookmarkEnd w:id="15"/>
    </w:p>
    <w:p w14:paraId="24F52E9B" w14:textId="5C9122A4" w:rsidR="002D3F9C" w:rsidRPr="00F97CB0" w:rsidRDefault="004141DC" w:rsidP="00F147E5">
      <w:pPr>
        <w:pStyle w:val="NoSpacing"/>
        <w:ind w:firstLine="720"/>
        <w:jc w:val="both"/>
        <w:rPr>
          <w:rFonts w:ascii="Times New Roman" w:hAnsi="Times New Roman" w:cs="Times New Roman"/>
          <w:sz w:val="24"/>
          <w:szCs w:val="24"/>
        </w:rPr>
      </w:pPr>
      <w:r w:rsidRPr="00F97CB0">
        <w:rPr>
          <w:rFonts w:ascii="Times New Roman" w:hAnsi="Times New Roman"/>
          <w:sz w:val="24"/>
        </w:rPr>
        <w:t>Privatisation in Slovenia has destroyed well-organised water management companies with a long tradition,</w:t>
      </w:r>
      <w:r w:rsidR="00661E94">
        <w:rPr>
          <w:rFonts w:ascii="Times New Roman" w:hAnsi="Times New Roman"/>
          <w:sz w:val="24"/>
        </w:rPr>
        <w:t xml:space="preserve"> such as</w:t>
      </w:r>
      <w:r w:rsidRPr="00F97CB0">
        <w:rPr>
          <w:rFonts w:ascii="Times New Roman" w:hAnsi="Times New Roman"/>
          <w:sz w:val="24"/>
        </w:rPr>
        <w:t xml:space="preserve"> PUH – a company for flash floods regulation, which went bankrupt, because the new owner burdened such a financially stable company with credit, took money from the company and let it go into bankruptcy. A few dozen of specialist expert have lost their jobs on that occasion, the archives were destroyed and there is no longer a company with experience in the regulation of flash floods.</w:t>
      </w:r>
    </w:p>
    <w:p w14:paraId="4725EA16" w14:textId="391B01C8" w:rsidR="004E26DE" w:rsidRPr="00F97CB0" w:rsidRDefault="00785CCF" w:rsidP="00F147E5">
      <w:pPr>
        <w:pStyle w:val="NoSpacing"/>
        <w:ind w:firstLine="720"/>
        <w:jc w:val="both"/>
        <w:rPr>
          <w:rFonts w:ascii="Times New Roman" w:hAnsi="Times New Roman" w:cs="Times New Roman"/>
          <w:sz w:val="24"/>
          <w:szCs w:val="24"/>
        </w:rPr>
      </w:pPr>
      <w:r w:rsidRPr="00F97CB0">
        <w:rPr>
          <w:rFonts w:ascii="Times New Roman" w:hAnsi="Times New Roman"/>
          <w:sz w:val="24"/>
        </w:rPr>
        <w:t>In Hungary, the Vituki Institute, a world-famous and renowned Institute, was destroyed in the privatisation process because, among other things, it had a land near the centre of Budapest at its disposal.</w:t>
      </w:r>
    </w:p>
    <w:p w14:paraId="46A2E2A8" w14:textId="5C2015DE" w:rsidR="002D3F9C" w:rsidRPr="00F97CB0" w:rsidRDefault="00C717D6" w:rsidP="00F147E5">
      <w:pPr>
        <w:pStyle w:val="NoSpacing"/>
        <w:ind w:firstLine="720"/>
        <w:jc w:val="both"/>
        <w:rPr>
          <w:rFonts w:ascii="Times New Roman" w:hAnsi="Times New Roman" w:cs="Times New Roman"/>
          <w:sz w:val="24"/>
          <w:szCs w:val="24"/>
        </w:rPr>
      </w:pPr>
      <w:r w:rsidRPr="00F97CB0">
        <w:rPr>
          <w:rFonts w:ascii="Times New Roman" w:hAnsi="Times New Roman"/>
          <w:sz w:val="24"/>
        </w:rPr>
        <w:t>Valuable experience can be drawn from past examples of failed privatisations of water management companies and waters, after which states had to buy back their water supply companies or water management companies that were previously privatised.</w:t>
      </w:r>
    </w:p>
    <w:p w14:paraId="31DCBFCC" w14:textId="55F3D909" w:rsidR="001F17BD" w:rsidRPr="00F97CB0" w:rsidRDefault="00C717D6"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Bad examples of privatisation such as Paris, Budapest, London, Athens, Thessaloniki, Bucharest or the examples of Portugal, Bolivia, Manila, etc. point out the fact that there is no good example of privatisation.</w:t>
      </w:r>
    </w:p>
    <w:p w14:paraId="0C0DFEA2" w14:textId="06DA23FC" w:rsidR="002D3F9C" w:rsidRPr="00F97CB0" w:rsidRDefault="00CD605F"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Claims that a change in ownership in water management companies can lead to improvement are incorrect, because the examples of well-organised water supply systems in North America (managed by the EPA – Environmental Protection Agency and the US Army), the Nordic countries, the Netherlands, Germany, and Switzerland show that their public status does not hamper their sound functioning.</w:t>
      </w:r>
    </w:p>
    <w:p w14:paraId="60179E7B" w14:textId="06377630" w:rsidR="008A1B96" w:rsidRPr="00F97CB0" w:rsidRDefault="00D9206D"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Among other things, one of the very convincing reasons for the unacceptability of the privatisation of water management companies is based on national security, pointing out to very dangerous crisis situations that can be caused if the control points of vital systems are entrusted to entities from outside, whose principals can be different</w:t>
      </w:r>
      <w:r w:rsidR="00661E94">
        <w:rPr>
          <w:rFonts w:ascii="Times New Roman" w:hAnsi="Times New Roman"/>
          <w:sz w:val="24"/>
        </w:rPr>
        <w:t>,</w:t>
      </w:r>
      <w:r w:rsidRPr="00F97CB0">
        <w:rPr>
          <w:rFonts w:ascii="Times New Roman" w:hAnsi="Times New Roman"/>
          <w:sz w:val="24"/>
        </w:rPr>
        <w:t xml:space="preserve"> often quite hidden centres of power, which would thus, by creating crisis situations, influence the realisation of some of their far-reaching interests.</w:t>
      </w:r>
    </w:p>
    <w:p w14:paraId="1FA34B6B" w14:textId="18BDCFA7" w:rsidR="002D3F9C" w:rsidRPr="00F97CB0" w:rsidRDefault="00811195"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Safeguarding national security should be a priority, and the privatisation of water management companies and institutes is unacceptable also for the reason that they possess information on state and military secrets, so the transfer into private hands of such entities through the privatisation process would threaten the national interests of the state.</w:t>
      </w:r>
    </w:p>
    <w:p w14:paraId="608E4A0F" w14:textId="528CA6CF" w:rsidR="0008061A" w:rsidRPr="00F97CB0" w:rsidRDefault="00213C12" w:rsidP="00517C01">
      <w:pPr>
        <w:pStyle w:val="NoSpacing"/>
        <w:ind w:firstLine="720"/>
        <w:jc w:val="both"/>
        <w:rPr>
          <w:rFonts w:ascii="Times New Roman" w:hAnsi="Times New Roman" w:cs="Times New Roman"/>
          <w:sz w:val="24"/>
          <w:szCs w:val="24"/>
        </w:rPr>
      </w:pPr>
      <w:r>
        <w:rPr>
          <w:rFonts w:ascii="Times New Roman" w:hAnsi="Times New Roman"/>
          <w:sz w:val="24"/>
        </w:rPr>
        <w:t>‘</w:t>
      </w:r>
      <w:r w:rsidR="005A21CF" w:rsidRPr="00F97CB0">
        <w:rPr>
          <w:rFonts w:ascii="Times New Roman" w:hAnsi="Times New Roman"/>
          <w:sz w:val="24"/>
        </w:rPr>
        <w:t>The one who have data on water today will rule the world tomorrow</w:t>
      </w:r>
      <w:r>
        <w:rPr>
          <w:rFonts w:ascii="Times New Roman" w:hAnsi="Times New Roman"/>
          <w:sz w:val="24"/>
        </w:rPr>
        <w:t>’</w:t>
      </w:r>
      <w:r w:rsidR="005A21CF" w:rsidRPr="00F97CB0">
        <w:rPr>
          <w:rFonts w:ascii="Times New Roman" w:hAnsi="Times New Roman"/>
          <w:sz w:val="24"/>
        </w:rPr>
        <w:t>, as emphasized hydrologist Branislav Božović, should be a timely warning for responsible states and governments, because if the data on a waters in a country end up in private hands, the national interest and national security of that country would be threatened.</w:t>
      </w:r>
    </w:p>
    <w:p w14:paraId="41282619" w14:textId="6CDB6E11" w:rsidR="0008061A" w:rsidRPr="00F97CB0" w:rsidRDefault="0008061A" w:rsidP="00610346">
      <w:pPr>
        <w:jc w:val="both"/>
        <w:rPr>
          <w:rFonts w:ascii="Times New Roman" w:hAnsi="Times New Roman" w:cs="Times New Roman"/>
          <w:b/>
          <w:bCs/>
          <w:sz w:val="24"/>
          <w:szCs w:val="24"/>
        </w:rPr>
      </w:pPr>
    </w:p>
    <w:p w14:paraId="5D448BF5" w14:textId="39DF2813" w:rsidR="00376090" w:rsidRPr="00F97CB0" w:rsidRDefault="005F5186" w:rsidP="00517C01">
      <w:pPr>
        <w:pStyle w:val="Heading1"/>
        <w:numPr>
          <w:ilvl w:val="0"/>
          <w:numId w:val="13"/>
        </w:numPr>
        <w:rPr>
          <w:rFonts w:ascii="Times New Roman" w:hAnsi="Times New Roman" w:cs="Times New Roman"/>
          <w:b/>
        </w:rPr>
      </w:pPr>
      <w:bookmarkStart w:id="16" w:name="_Toc112590376"/>
      <w:r w:rsidRPr="00F97CB0">
        <w:rPr>
          <w:rFonts w:ascii="Times New Roman" w:hAnsi="Times New Roman"/>
          <w:b/>
        </w:rPr>
        <w:t>CONCLUSIONS</w:t>
      </w:r>
      <w:bookmarkEnd w:id="16"/>
    </w:p>
    <w:p w14:paraId="32881F21" w14:textId="77777777" w:rsidR="00A94049" w:rsidRPr="00F97CB0" w:rsidRDefault="00A94049" w:rsidP="00610346">
      <w:pPr>
        <w:jc w:val="both"/>
        <w:rPr>
          <w:rFonts w:ascii="Times New Roman" w:hAnsi="Times New Roman" w:cs="Times New Roman"/>
          <w:sz w:val="24"/>
          <w:szCs w:val="24"/>
        </w:rPr>
      </w:pPr>
    </w:p>
    <w:p w14:paraId="5E2B28BD" w14:textId="5EE76A97" w:rsidR="00C164FA" w:rsidRPr="00F97CB0" w:rsidRDefault="00376090"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Anti-Corruption Council of the Government of the Republic of Serbia is of the opinion that the privatisation, </w:t>
      </w:r>
      <w:r w:rsidR="00213C12" w:rsidRPr="00F97CB0">
        <w:rPr>
          <w:rFonts w:ascii="Times New Roman" w:hAnsi="Times New Roman"/>
          <w:sz w:val="24"/>
        </w:rPr>
        <w:t>i.e.,</w:t>
      </w:r>
      <w:r w:rsidRPr="00F97CB0">
        <w:rPr>
          <w:rFonts w:ascii="Times New Roman" w:hAnsi="Times New Roman"/>
          <w:sz w:val="24"/>
        </w:rPr>
        <w:t xml:space="preserve"> the sale of the Jaroslav Černi Institute, is contrary to the interests of the citizens of the Republic of Serbia and illegal for a number of reasons and in several aspects, so it cannot subsist as such and its cancellation is necessary.</w:t>
      </w:r>
    </w:p>
    <w:p w14:paraId="17A1A7E1" w14:textId="1FFADCCD" w:rsidR="00C164FA" w:rsidRPr="00F97CB0" w:rsidRDefault="00C164FA"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Because of the strategic importance of the Institute in the water management sector, we consider that it should not have been privatised but, on the contrary, it should be kept with the dominant participation of the State in its ownership structure, resisting private interests, bearing in mind the bad or disastrous experiences of countries in transition that privatised water management companies and institutes in the same or similar way. Given the competences of the Institute in carrying out activities in which citizens have an interest, it should not have been allowed for the Institute to be converted into private ownership and, consequently, for the human health, lives of people and their property, as well as environmental protection and security of the State to depend on private individuals.</w:t>
      </w:r>
    </w:p>
    <w:p w14:paraId="4BACC513" w14:textId="61D79562" w:rsidR="002545A4" w:rsidRPr="00F97CB0" w:rsidRDefault="00C164FA"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The institute should not have been privatised either for the reason that it carries out activities of general interest, </w:t>
      </w:r>
      <w:r w:rsidR="00193250" w:rsidRPr="00F97CB0">
        <w:rPr>
          <w:rFonts w:ascii="Times New Roman" w:hAnsi="Times New Roman"/>
          <w:sz w:val="24"/>
        </w:rPr>
        <w:t>i.e.,</w:t>
      </w:r>
      <w:r w:rsidRPr="00F97CB0">
        <w:rPr>
          <w:rFonts w:ascii="Times New Roman" w:hAnsi="Times New Roman"/>
          <w:sz w:val="24"/>
        </w:rPr>
        <w:t xml:space="preserve"> it carries out activities of interest to all citizens and participates in all activities on water protection and management within the country.</w:t>
      </w:r>
    </w:p>
    <w:p w14:paraId="5D2779F0" w14:textId="268AB695" w:rsidR="00376090" w:rsidRPr="00F97CB0" w:rsidRDefault="00B11EC8"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Water activity, as provided for by the provisions of the Law on Waters, is an activity of general interest that includes the regulation of watercourses and protection against the harmful effects of water, the regulation and use of water and the protection of waters from pollution, where the role of the Jaroslav Černi Water Institute is absolutely irreplaceable, and with its transfer into private hands, water activity is threatened, and so is the general interest.</w:t>
      </w:r>
    </w:p>
    <w:p w14:paraId="202A0681" w14:textId="2ABFABEC" w:rsidR="00C11399" w:rsidRPr="00F97CB0" w:rsidRDefault="00376090"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What is also inadmissible is the absence of a reason for the privatisation of the Institute, that is, there is not a single argument or reason based on the law, which would show that the privatisation of the Institute is socially or economically justified and beneficial. The reasons for the privatisation of the Institute remain unclear, especially taking into account the fact that it is the only state Institute in the field of water management that does not operate at a loss, but on the contrary, makes a profit through its operation.</w:t>
      </w:r>
    </w:p>
    <w:p w14:paraId="5F380DC0" w14:textId="328B2DC6" w:rsidR="004D5028" w:rsidRPr="00F97CB0" w:rsidRDefault="00376090"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There is no information available to the public about why the initial price was so low and what is included in the assessment, whether the value was correctly determined and what parameters were used in the assessment, especially considering the fact that since 2016 State Audit Institution has not performed an audit of financial statements and regularity of operations of the joint stock company Jaroslav Černi Water Institute, Belgrade.</w:t>
      </w:r>
    </w:p>
    <w:p w14:paraId="1946394B" w14:textId="6B676E84" w:rsidR="009A6AA8" w:rsidRPr="00F97CB0" w:rsidRDefault="00702FA8"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After inspection of files of the Agency for Business Registers, the Council concluded that since 2018, there is no data on the financial reports of the Jaroslav Černi Institute, although that is a legal obligation.</w:t>
      </w:r>
    </w:p>
    <w:p w14:paraId="4E7DD9BB" w14:textId="15B0164E" w:rsidR="00376090" w:rsidRPr="00F97CB0" w:rsidRDefault="00667BD9"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As stated before, the Ministry of Economy rejected the request of the Anti-Corruption Council of the Government of the Republic of Serbia for the delivery of the report of the authorised assessor who estimated the value of the Jaroslav Černi Institute at 2,800,000.00, </w:t>
      </w:r>
      <w:r w:rsidR="00193250" w:rsidRPr="00F97CB0">
        <w:rPr>
          <w:rFonts w:ascii="Times New Roman" w:hAnsi="Times New Roman"/>
          <w:sz w:val="24"/>
        </w:rPr>
        <w:t>i.e.,</w:t>
      </w:r>
      <w:r w:rsidRPr="00F97CB0">
        <w:rPr>
          <w:rFonts w:ascii="Times New Roman" w:hAnsi="Times New Roman"/>
          <w:sz w:val="24"/>
        </w:rPr>
        <w:t xml:space="preserve"> 2,576,066.92 euros, which was the initial price of the Institute in the privatisation procedure.</w:t>
      </w:r>
    </w:p>
    <w:p w14:paraId="25A85BEC" w14:textId="6BC731B9" w:rsidR="00E541A0" w:rsidRPr="00F97CB0" w:rsidRDefault="00376090"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One of the principles of water management is the principle of public participation, which means that the public, among other things, has the right to information about the work of competent </w:t>
      </w:r>
      <w:r w:rsidRPr="00F97CB0">
        <w:rPr>
          <w:rFonts w:ascii="Times New Roman" w:hAnsi="Times New Roman"/>
          <w:sz w:val="24"/>
        </w:rPr>
        <w:lastRenderedPageBreak/>
        <w:t>authorities in the field of waters, and in this particular case, the refusal of the Ministry of Economy to submit to the Anti-Corruption Council the Report on the estimated value of the Jaroslav Černi Water Institute as a leading scientific and research organisation in the field of waters in the privatisation procedure supports the suspicion that in this particular case there may be elements of the acts of corruption.</w:t>
      </w:r>
    </w:p>
    <w:p w14:paraId="6D5CC9B1" w14:textId="188B8934" w:rsidR="00DF684B" w:rsidRPr="00F97CB0" w:rsidRDefault="00694746" w:rsidP="00517C01">
      <w:pPr>
        <w:pStyle w:val="NoSpacing"/>
        <w:ind w:firstLine="720"/>
        <w:jc w:val="both"/>
        <w:rPr>
          <w:rFonts w:ascii="Times New Roman" w:hAnsi="Times New Roman" w:cs="Times New Roman"/>
          <w:b/>
          <w:bCs/>
          <w:sz w:val="24"/>
          <w:szCs w:val="24"/>
        </w:rPr>
      </w:pPr>
      <w:r w:rsidRPr="00F97CB0">
        <w:rPr>
          <w:rFonts w:ascii="Times New Roman" w:hAnsi="Times New Roman"/>
          <w:sz w:val="24"/>
        </w:rPr>
        <w:t xml:space="preserve">The absence of public participation, insufficient </w:t>
      </w:r>
      <w:r w:rsidR="00303FF1" w:rsidRPr="00F97CB0">
        <w:rPr>
          <w:rFonts w:ascii="Times New Roman" w:hAnsi="Times New Roman"/>
          <w:sz w:val="24"/>
        </w:rPr>
        <w:t>visibility,</w:t>
      </w:r>
      <w:r w:rsidRPr="00F97CB0">
        <w:rPr>
          <w:rFonts w:ascii="Times New Roman" w:hAnsi="Times New Roman"/>
          <w:sz w:val="24"/>
        </w:rPr>
        <w:t xml:space="preserve"> and non-transparency in the specific case, leave enough room to doubt, first of all, the justification of the privatisation of the Institute, as well as the legality of the procedure of sale.</w:t>
      </w:r>
    </w:p>
    <w:p w14:paraId="71896B13" w14:textId="58055A26" w:rsidR="003D7C11" w:rsidRPr="00F97CB0" w:rsidRDefault="00ED2F81"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Intention of the State to sell the Jaroslav Černi Water Institute, without adequate, rational and legal reasons for such an action, is only one step towards the sale of water management companies in the Republic of Serbia and the violation of the unity of the water management area, prescribed by the Decree of the Government of the Republic of Serbia on determining of the Water Management basis from 2002, as a basic planning document in the field of waters, which lays down the basic strategy for water use, protection against waters and water protection </w:t>
      </w:r>
      <w:r w:rsidR="00303FF1">
        <w:rPr>
          <w:rFonts w:ascii="Times New Roman" w:hAnsi="Times New Roman"/>
          <w:sz w:val="24"/>
        </w:rPr>
        <w:t>with</w:t>
      </w:r>
      <w:r w:rsidRPr="00F97CB0">
        <w:rPr>
          <w:rFonts w:ascii="Times New Roman" w:hAnsi="Times New Roman"/>
          <w:sz w:val="24"/>
        </w:rPr>
        <w:t>in the territory of the Republic of Serbia.</w:t>
      </w:r>
    </w:p>
    <w:p w14:paraId="2636B008" w14:textId="352435F3" w:rsidR="00D8644C" w:rsidRPr="00F97CB0" w:rsidRDefault="00342A3C"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Thus, the sale of the Jaroslav Černi Water Institute was preceded by the Decision of the Government of the Republic of Serbia of 15 October 2020 on the initiation of the procedure of privatisation of four water management companies such as Tamiš Dunav from Pančevo, Gornji Banat from Kikinda, Srednji Banat from Zrenjanin and Podunavlje from Kovin, whereby water activity, as an activity of general interest that includes the regulation of watercourses and protection against the harmful effects of water, the regulation and use of water and protection against pollution, is endangered, in such a way that transfer of this companies into private hands cannot provide the means of ensuring the sustainable use of water, the protection and improvement of aquatic and coastal ecosystems, the reduction of adverse effects of floods and droughts, reduction of the harmful effects of climate change, as well as respecting the declared principle of unity in management of the water system.</w:t>
      </w:r>
    </w:p>
    <w:p w14:paraId="33275B3E" w14:textId="49367202" w:rsidR="003166D5" w:rsidRPr="00F97CB0" w:rsidRDefault="00D8644C"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In addition, the privatisation of the Jaroslav Černi Water Institute goes against the established concept of water management, contained in the Water Management Strategy of the territory of the Republic of Serbia until 2034, which is a planning document that lays down the trends in water management within the territory of the Republic of Serbia, in the preparation of which the Institute participated.</w:t>
      </w:r>
    </w:p>
    <w:p w14:paraId="4D75603C" w14:textId="2128BD50" w:rsidR="00747546" w:rsidRPr="00F97CB0" w:rsidRDefault="003166D5" w:rsidP="00517C01">
      <w:pPr>
        <w:pStyle w:val="NoSpacing"/>
        <w:ind w:firstLine="720"/>
        <w:jc w:val="both"/>
        <w:rPr>
          <w:rFonts w:ascii="Times New Roman" w:hAnsi="Times New Roman" w:cs="Times New Roman"/>
          <w:b/>
          <w:bCs/>
          <w:sz w:val="24"/>
          <w:szCs w:val="24"/>
        </w:rPr>
      </w:pPr>
      <w:r w:rsidRPr="00F97CB0">
        <w:rPr>
          <w:rFonts w:ascii="Times New Roman" w:hAnsi="Times New Roman"/>
          <w:sz w:val="24"/>
        </w:rPr>
        <w:t xml:space="preserve">In the Strategy as an official planning document of the Republic of Serbia, among other things, it is stated that the scientific and research organisation Jaroslav Černi Water Institute is an </w:t>
      </w:r>
      <w:r w:rsidRPr="00F97CB0">
        <w:rPr>
          <w:rFonts w:ascii="Times New Roman" w:hAnsi="Times New Roman"/>
          <w:b/>
          <w:bCs/>
          <w:sz w:val="24"/>
        </w:rPr>
        <w:t>indispensable part of the successful functioning and development of the water sector in the Republic of Serbia</w:t>
      </w:r>
      <w:r w:rsidRPr="00F97CB0">
        <w:rPr>
          <w:rFonts w:ascii="Times New Roman" w:hAnsi="Times New Roman"/>
          <w:sz w:val="24"/>
        </w:rPr>
        <w:t>.</w:t>
      </w:r>
    </w:p>
    <w:p w14:paraId="49E9CFAB" w14:textId="32F3617B" w:rsidR="00747546" w:rsidRPr="00F97CB0" w:rsidRDefault="00091E7B"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The established concept of water management is based on the natural characteristics of the territory of the Republic of Serbia, the present status of water resources, the need to protect waters from pollution and protection against the adverse effects of water, keeping in mind the requirement to align with international standards, where the role of the Institute as a leading scientific and research organisation is irreplaceable.</w:t>
      </w:r>
    </w:p>
    <w:p w14:paraId="486AE9CD" w14:textId="37F886D4" w:rsidR="00747546" w:rsidRPr="00303FF1" w:rsidRDefault="00E825C5" w:rsidP="00517C01">
      <w:pPr>
        <w:pStyle w:val="NoSpacing"/>
        <w:ind w:firstLine="720"/>
        <w:jc w:val="both"/>
        <w:rPr>
          <w:rFonts w:ascii="Times New Roman" w:hAnsi="Times New Roman" w:cs="Times New Roman"/>
          <w:sz w:val="24"/>
          <w:szCs w:val="24"/>
        </w:rPr>
      </w:pPr>
      <w:r w:rsidRPr="00303FF1">
        <w:rPr>
          <w:rFonts w:ascii="Times New Roman" w:hAnsi="Times New Roman" w:cs="Times New Roman"/>
          <w:sz w:val="24"/>
          <w:szCs w:val="24"/>
        </w:rPr>
        <w:t xml:space="preserve">The World Commission on Environment and Development promoted the concept of sustainable development by the following definition: </w:t>
      </w:r>
      <w:r w:rsidR="00303FF1">
        <w:rPr>
          <w:rFonts w:ascii="Times New Roman" w:hAnsi="Times New Roman" w:cs="Times New Roman"/>
          <w:sz w:val="24"/>
          <w:szCs w:val="24"/>
        </w:rPr>
        <w:t>‘</w:t>
      </w:r>
      <w:r w:rsidRPr="00303FF1">
        <w:rPr>
          <w:rFonts w:ascii="Times New Roman" w:hAnsi="Times New Roman" w:cs="Times New Roman"/>
          <w:sz w:val="24"/>
          <w:szCs w:val="24"/>
        </w:rPr>
        <w:t>Sustainable development is development that meets the needs of the present without compromising the ability of future generations to meet their own needs</w:t>
      </w:r>
      <w:r w:rsidR="00303FF1">
        <w:rPr>
          <w:rFonts w:ascii="Times New Roman" w:hAnsi="Times New Roman" w:cs="Times New Roman"/>
          <w:sz w:val="24"/>
          <w:szCs w:val="24"/>
        </w:rPr>
        <w:t>’</w:t>
      </w:r>
      <w:r w:rsidRPr="00303FF1">
        <w:rPr>
          <w:rFonts w:ascii="Times New Roman" w:hAnsi="Times New Roman" w:cs="Times New Roman"/>
          <w:sz w:val="24"/>
          <w:szCs w:val="24"/>
        </w:rPr>
        <w:t>.</w:t>
      </w:r>
      <w:r w:rsidR="00517C01" w:rsidRPr="00303FF1">
        <w:rPr>
          <w:rFonts w:ascii="Times New Roman" w:hAnsi="Times New Roman" w:cs="Times New Roman"/>
          <w:sz w:val="24"/>
          <w:szCs w:val="24"/>
          <w:vertAlign w:val="superscript"/>
        </w:rPr>
        <w:footnoteReference w:id="22"/>
      </w:r>
    </w:p>
    <w:p w14:paraId="408632E4" w14:textId="28224585" w:rsidR="00B94D0B" w:rsidRPr="00F97CB0" w:rsidRDefault="00B328C9" w:rsidP="00517C01">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 xml:space="preserve">Water as an important element of the environment followed this concept, so it is not surprising that in the majority of developed countries water management remained state-owned, just as it is not surprising that the countries in transition that privatised water management companies and institutes are bad examples, and that they brought such </w:t>
      </w:r>
      <w:r w:rsidR="008C6E5B">
        <w:rPr>
          <w:rFonts w:ascii="Times New Roman" w:hAnsi="Times New Roman"/>
          <w:sz w:val="24"/>
        </w:rPr>
        <w:t>entities</w:t>
      </w:r>
      <w:r w:rsidRPr="00F97CB0">
        <w:rPr>
          <w:rFonts w:ascii="Times New Roman" w:hAnsi="Times New Roman"/>
          <w:sz w:val="24"/>
        </w:rPr>
        <w:t xml:space="preserve"> back under the auspices of the state, unfortunately after their devastation by the private individuals who bought them.</w:t>
      </w:r>
    </w:p>
    <w:p w14:paraId="454A15F6" w14:textId="4798987C" w:rsidR="000F7765" w:rsidRPr="00F97CB0" w:rsidRDefault="00494F05"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Contrary to the Water Management Strategy of the territory of the Republic of Serbia until 2034, which specifies that it is necessary to provide greater powers to the Jaroslav Černi Water Institute for the purposes of study and research works of special importance for water management and of professional support to state authorities, an arbitrary, harmful and illegal sale of Institute took place.</w:t>
      </w:r>
    </w:p>
    <w:p w14:paraId="2DD01F66" w14:textId="77023228" w:rsidR="00240335" w:rsidRPr="00303FF1" w:rsidRDefault="000F7765" w:rsidP="00517C01">
      <w:pPr>
        <w:pStyle w:val="NoSpacing"/>
        <w:ind w:firstLine="720"/>
        <w:jc w:val="both"/>
        <w:rPr>
          <w:rFonts w:ascii="Times New Roman" w:hAnsi="Times New Roman" w:cs="Times New Roman"/>
          <w:b/>
          <w:bCs/>
          <w:sz w:val="24"/>
          <w:szCs w:val="24"/>
        </w:rPr>
      </w:pPr>
      <w:r w:rsidRPr="00303FF1">
        <w:rPr>
          <w:rFonts w:ascii="Times New Roman" w:hAnsi="Times New Roman" w:cs="Times New Roman"/>
          <w:sz w:val="24"/>
          <w:szCs w:val="24"/>
        </w:rPr>
        <w:t>In addition to the fact that the sale of the Jaroslav Černi Water Institute as a scientific and research organisation is contrary to the Water Management Strategy of the territory of the Republic of Serbia until 2034, the sale of the Institute is also contrary to the Strategy of Scientific and Technological Development of the Republic of Serbia for the period from 2021 to 2025 “The power of knowledge”</w:t>
      </w:r>
      <w:r w:rsidR="00517C01" w:rsidRPr="00303FF1">
        <w:rPr>
          <w:rStyle w:val="FootnoteReference"/>
          <w:rFonts w:ascii="Times New Roman" w:hAnsi="Times New Roman" w:cs="Times New Roman"/>
          <w:sz w:val="24"/>
          <w:szCs w:val="24"/>
        </w:rPr>
        <w:footnoteReference w:id="23"/>
      </w:r>
      <w:r w:rsidRPr="00303FF1">
        <w:rPr>
          <w:rFonts w:ascii="Times New Roman" w:hAnsi="Times New Roman" w:cs="Times New Roman"/>
          <w:sz w:val="24"/>
          <w:szCs w:val="24"/>
        </w:rPr>
        <w:t>, adopted by the Government of the Republic of Serbia in 2021, which is a strategic document for improving the quality of life of the citizens of the Republic of Serbia through science and technological development, and which is based on the belief that “the Republic of Serbia will be strong, prosperous and prominent, in proportion to the knowledge that as a community of thinking people possesses”.</w:t>
      </w:r>
    </w:p>
    <w:p w14:paraId="7C7650B1" w14:textId="51573D54" w:rsidR="00251D90" w:rsidRPr="00F97CB0" w:rsidRDefault="00D86D72" w:rsidP="00517C01">
      <w:pPr>
        <w:pStyle w:val="NoSpacing"/>
        <w:ind w:firstLine="720"/>
        <w:jc w:val="both"/>
        <w:rPr>
          <w:rFonts w:ascii="Times New Roman" w:hAnsi="Times New Roman" w:cs="Times New Roman"/>
          <w:sz w:val="24"/>
          <w:szCs w:val="24"/>
        </w:rPr>
      </w:pPr>
      <w:r w:rsidRPr="00303FF1">
        <w:rPr>
          <w:rFonts w:ascii="Times New Roman" w:hAnsi="Times New Roman" w:cs="Times New Roman"/>
          <w:sz w:val="24"/>
          <w:szCs w:val="24"/>
        </w:rPr>
        <w:t>The general goal of the Strategy of Scientific and Technological Development of the</w:t>
      </w:r>
      <w:r w:rsidRPr="00F97CB0">
        <w:rPr>
          <w:rFonts w:ascii="Times New Roman" w:hAnsi="Times New Roman"/>
          <w:sz w:val="24"/>
        </w:rPr>
        <w:t xml:space="preserve"> Republic of Serbia for the period from 2021 to 2025 </w:t>
      </w:r>
      <w:r w:rsidR="00B97F1D">
        <w:rPr>
          <w:rFonts w:ascii="Times New Roman" w:hAnsi="Times New Roman"/>
          <w:sz w:val="24"/>
        </w:rPr>
        <w:t>‘</w:t>
      </w:r>
      <w:r w:rsidRPr="00F97CB0">
        <w:rPr>
          <w:rFonts w:ascii="Times New Roman" w:hAnsi="Times New Roman"/>
          <w:sz w:val="24"/>
        </w:rPr>
        <w:t>The power of knowledge</w:t>
      </w:r>
      <w:r w:rsidR="00B97F1D">
        <w:rPr>
          <w:rFonts w:ascii="Times New Roman" w:hAnsi="Times New Roman"/>
          <w:sz w:val="24"/>
        </w:rPr>
        <w:t>’</w:t>
      </w:r>
      <w:r w:rsidRPr="00F97CB0">
        <w:rPr>
          <w:rFonts w:ascii="Times New Roman" w:hAnsi="Times New Roman"/>
          <w:sz w:val="24"/>
        </w:rPr>
        <w:t xml:space="preserve"> is that the scientific-technological and innovation system contributes to the accelerated development of the Republic of Serbia through the improvement of the quality and efficiency of science, technological development and innovation and further integration into European research area.</w:t>
      </w:r>
    </w:p>
    <w:p w14:paraId="4BAC2B17" w14:textId="1AD89011" w:rsidR="00256CA5" w:rsidRPr="00F97CB0" w:rsidRDefault="00D86D72"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The sale of a scientific and research organisation such as the Jaroslav Černi Water Institute, contrary to the established general goal of the Strategy of Scientific and Technological Development of the Republic of Serbia for the period from 2021 to 2025, causes irreparable damage in terms of the loss of high quality research staff, scientific results, efficient management of available resources, development of new technologies, quality of life, as well as providing expert support for decision-making at the state level.</w:t>
      </w:r>
    </w:p>
    <w:p w14:paraId="26D0A542" w14:textId="2541793D" w:rsidR="00332E35" w:rsidRPr="00F97CB0" w:rsidRDefault="007E5B07" w:rsidP="00517C01">
      <w:pPr>
        <w:pStyle w:val="NoSpacing"/>
        <w:ind w:firstLine="720"/>
        <w:jc w:val="both"/>
        <w:rPr>
          <w:rFonts w:ascii="Times New Roman" w:hAnsi="Times New Roman" w:cs="Times New Roman"/>
          <w:sz w:val="24"/>
          <w:szCs w:val="24"/>
        </w:rPr>
      </w:pPr>
      <w:r w:rsidRPr="00F97CB0">
        <w:rPr>
          <w:rFonts w:ascii="Times New Roman" w:hAnsi="Times New Roman"/>
          <w:sz w:val="24"/>
        </w:rPr>
        <w:t>The legislative framework relevant to the adoption of the Strategy for Scientific and Technological Development of the Republic of Serbia for the period 2021 to 2025 is, among other things, defined by the Law on Science and Research</w:t>
      </w:r>
      <w:r w:rsidR="00517C01" w:rsidRPr="00F97CB0">
        <w:rPr>
          <w:rStyle w:val="FootnoteReference"/>
          <w:rFonts w:ascii="Times New Roman" w:hAnsi="Times New Roman" w:cs="Times New Roman"/>
          <w:sz w:val="24"/>
          <w:szCs w:val="24"/>
        </w:rPr>
        <w:footnoteReference w:id="24"/>
      </w:r>
      <w:r w:rsidRPr="00F97CB0">
        <w:rPr>
          <w:rFonts w:ascii="Times New Roman" w:hAnsi="Times New Roman"/>
          <w:sz w:val="24"/>
        </w:rPr>
        <w:t>, which defines that the general interest in scientific and research activity is reached through the program of institutional financing, which entails the creation of a legal framework for financing accredited institutes and institutes of national importance, where the state must play a leading role.</w:t>
      </w:r>
    </w:p>
    <w:p w14:paraId="57D7EF34" w14:textId="5BD4D8BC" w:rsidR="007E5B07" w:rsidRPr="00F97CB0" w:rsidRDefault="007E5B07" w:rsidP="00517C01">
      <w:pPr>
        <w:pStyle w:val="NoSpacing"/>
        <w:ind w:firstLine="720"/>
        <w:jc w:val="both"/>
        <w:rPr>
          <w:rFonts w:ascii="Times New Roman" w:hAnsi="Times New Roman" w:cs="Times New Roman"/>
          <w:b/>
          <w:bCs/>
          <w:sz w:val="24"/>
          <w:szCs w:val="24"/>
        </w:rPr>
      </w:pPr>
      <w:r w:rsidRPr="00F97CB0">
        <w:rPr>
          <w:rFonts w:ascii="Times New Roman" w:hAnsi="Times New Roman"/>
          <w:sz w:val="24"/>
        </w:rPr>
        <w:t>At the same time, the Law on the Science Fund of the Republic of Serbia</w:t>
      </w:r>
      <w:r w:rsidR="00517C01" w:rsidRPr="00F97CB0">
        <w:rPr>
          <w:rStyle w:val="FootnoteReference"/>
          <w:rFonts w:ascii="Times New Roman" w:hAnsi="Times New Roman" w:cs="Times New Roman"/>
          <w:sz w:val="24"/>
          <w:szCs w:val="24"/>
        </w:rPr>
        <w:footnoteReference w:id="25"/>
      </w:r>
      <w:r w:rsidRPr="00F97CB0">
        <w:rPr>
          <w:rFonts w:ascii="Times New Roman" w:hAnsi="Times New Roman"/>
          <w:sz w:val="24"/>
        </w:rPr>
        <w:t xml:space="preserve"> specifies that scientific research and development activities are performed through scientific, technological and development programs under which projects are implemented, for the purpose of achieving objectives defined in the Strategy of Scientific and Technological Development of the Republic of Serbia.</w:t>
      </w:r>
    </w:p>
    <w:p w14:paraId="3F201F63" w14:textId="5E9797CA" w:rsidR="005F57A7" w:rsidRPr="00F97CB0" w:rsidRDefault="00EF6CF3" w:rsidP="00F855EE">
      <w:pPr>
        <w:pStyle w:val="NoSpacing"/>
        <w:ind w:firstLine="720"/>
        <w:jc w:val="both"/>
        <w:rPr>
          <w:rFonts w:ascii="Times New Roman" w:hAnsi="Times New Roman" w:cs="Times New Roman"/>
          <w:sz w:val="24"/>
          <w:szCs w:val="24"/>
        </w:rPr>
      </w:pPr>
      <w:bookmarkStart w:id="17" w:name="_Hlk90418249"/>
      <w:r w:rsidRPr="00F97CB0">
        <w:rPr>
          <w:rFonts w:ascii="Times New Roman" w:hAnsi="Times New Roman"/>
          <w:sz w:val="24"/>
        </w:rPr>
        <w:lastRenderedPageBreak/>
        <w:t>The Anti-Corruption Council is of the opinion that, with the sale of the Jaroslav Černi Water Institute as a leading scientific and research organi</w:t>
      </w:r>
      <w:r w:rsidR="00AB6C60" w:rsidRPr="00F97CB0">
        <w:rPr>
          <w:rFonts w:ascii="Times New Roman" w:hAnsi="Times New Roman"/>
          <w:sz w:val="24"/>
        </w:rPr>
        <w:t>s</w:t>
      </w:r>
      <w:r w:rsidRPr="00F97CB0">
        <w:rPr>
          <w:rFonts w:ascii="Times New Roman" w:hAnsi="Times New Roman"/>
          <w:sz w:val="24"/>
        </w:rPr>
        <w:t xml:space="preserve">ation in the field of waters, the goals and principles defined by the Water Management Strategy of the territory of the Republic of Serbia until 2034 and the Strategy of Scientific and Technological Development of the Republic of Serbia from 2021 to 2025 </w:t>
      </w:r>
      <w:r w:rsidR="004D662F">
        <w:rPr>
          <w:rFonts w:ascii="Times New Roman" w:hAnsi="Times New Roman"/>
          <w:sz w:val="24"/>
        </w:rPr>
        <w:t>‘</w:t>
      </w:r>
      <w:r w:rsidRPr="00F97CB0">
        <w:rPr>
          <w:rFonts w:ascii="Times New Roman" w:hAnsi="Times New Roman"/>
          <w:sz w:val="24"/>
        </w:rPr>
        <w:t>The power of knowledge</w:t>
      </w:r>
      <w:r w:rsidR="004D662F">
        <w:rPr>
          <w:rFonts w:ascii="Times New Roman" w:hAnsi="Times New Roman"/>
          <w:sz w:val="24"/>
        </w:rPr>
        <w:t>’</w:t>
      </w:r>
      <w:r w:rsidRPr="00F97CB0">
        <w:rPr>
          <w:rFonts w:ascii="Times New Roman" w:hAnsi="Times New Roman"/>
          <w:sz w:val="24"/>
        </w:rPr>
        <w:t xml:space="preserve">, adopted by the Government of the Republic of Serbia, are laid down and being implemented only pro forma, considering that, contrary to the declared </w:t>
      </w:r>
      <w:r w:rsidR="004D662F">
        <w:rPr>
          <w:rFonts w:ascii="Times New Roman" w:hAnsi="Times New Roman"/>
          <w:sz w:val="24"/>
        </w:rPr>
        <w:t>objectives</w:t>
      </w:r>
      <w:r w:rsidRPr="00F97CB0">
        <w:rPr>
          <w:rFonts w:ascii="Times New Roman" w:hAnsi="Times New Roman"/>
          <w:sz w:val="24"/>
        </w:rPr>
        <w:t xml:space="preserve"> and principles of the mentioned Strategies, the leading scientific and research organisations in the country are sold to private individuals, just like the Jaroslav Černi Water Institute.</w:t>
      </w:r>
    </w:p>
    <w:bookmarkEnd w:id="17"/>
    <w:p w14:paraId="4911A5F7" w14:textId="78A70456" w:rsidR="00DE4A24" w:rsidRPr="00F97CB0" w:rsidRDefault="008970CB"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In accordance with what was previously stated, the Council is of the opinion that the sale of the Jaroslav Černi Water Institute, which was without a rational and apparent reason, and which is contrary to the Decree on determining the water management basis of the Republic of Serbia, the Water Management Strategy in the Republic of Serbia until 2034, the Strategy of Scientific and Technological Development of the Republic of Serbia from 2021 to 2025, as well as to the provisions of the Law on Waters, the Law on Science and Research, the Law on the Science Fund of the Republic of Serbia, must be annulled as illegal.</w:t>
      </w:r>
    </w:p>
    <w:p w14:paraId="29A9D66A" w14:textId="4F501685" w:rsidR="00BD7890" w:rsidRPr="00F97CB0" w:rsidRDefault="00BD7890" w:rsidP="00BD789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Before pointing out illegalities during the procedure of privatisation of the Jaroslav Černi Water Institute due to which the sale of the Institute need to be annullled, the Council also points out the fact that the Public Invitation of the Ministry of Economy of 1 October 2021 for the privatisation of the Institute leads to the conclusion that, based on it and the conditions it provided for which interested bidders must </w:t>
      </w:r>
      <w:r w:rsidR="00861455">
        <w:rPr>
          <w:rFonts w:ascii="Times New Roman" w:hAnsi="Times New Roman"/>
          <w:sz w:val="24"/>
        </w:rPr>
        <w:t>comply with</w:t>
      </w:r>
      <w:r w:rsidRPr="00F97CB0">
        <w:rPr>
          <w:rFonts w:ascii="Times New Roman" w:hAnsi="Times New Roman"/>
          <w:sz w:val="24"/>
        </w:rPr>
        <w:t>, scene has been set for an already known and agreed-upon buyer.</w:t>
      </w:r>
    </w:p>
    <w:p w14:paraId="73936716" w14:textId="50ECAA0B" w:rsidR="00BD7890" w:rsidRPr="00F97CB0" w:rsidRDefault="00BD7890" w:rsidP="00BD789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Namely, the very fact that in the public invitation of the Ministry of Economy for the sale of the capital of the joint stock company Jaroslav Černi Water Institute as a scientific and research organisation, in the qualification conditions that interested bidders must comply with, there was no mandatory condition regarding the performance of scientific and research work that interested legal persons as an activity had to </w:t>
      </w:r>
      <w:r w:rsidR="00861455">
        <w:rPr>
          <w:rFonts w:ascii="Times New Roman" w:hAnsi="Times New Roman"/>
          <w:sz w:val="24"/>
        </w:rPr>
        <w:t>satisfy</w:t>
      </w:r>
      <w:r w:rsidRPr="00F97CB0">
        <w:rPr>
          <w:rFonts w:ascii="Times New Roman" w:hAnsi="Times New Roman"/>
          <w:sz w:val="24"/>
        </w:rPr>
        <w:t xml:space="preserve">, indicates that the procedure of the sale of the Institute was planned in advance with an already known buyer who does not engage in scientific and research work, but also that, contrary to the indicative position of the Government of the Republic of Serbia expressed in the adopted Water Management Strategy of the territory of the Republic of Serbia until 2034 and the Strategy of Scientific and Technological Development of the Republic of Serbia for the period from 2021 to 2025 </w:t>
      </w:r>
      <w:r w:rsidR="00861455">
        <w:rPr>
          <w:rFonts w:ascii="Times New Roman" w:hAnsi="Times New Roman"/>
          <w:sz w:val="24"/>
        </w:rPr>
        <w:t>‘</w:t>
      </w:r>
      <w:r w:rsidRPr="00F97CB0">
        <w:rPr>
          <w:rFonts w:ascii="Times New Roman" w:hAnsi="Times New Roman"/>
          <w:sz w:val="24"/>
        </w:rPr>
        <w:t>The power of knowledge</w:t>
      </w:r>
      <w:r w:rsidR="00861455">
        <w:rPr>
          <w:rFonts w:ascii="Times New Roman" w:hAnsi="Times New Roman"/>
          <w:sz w:val="24"/>
        </w:rPr>
        <w:t>’</w:t>
      </w:r>
      <w:r w:rsidRPr="00F97CB0">
        <w:rPr>
          <w:rFonts w:ascii="Times New Roman" w:hAnsi="Times New Roman"/>
          <w:sz w:val="24"/>
        </w:rPr>
        <w:t>, engaging in scientific and research activities in the Republic of Serbia were put on the sidelines and are matter of no consequence.</w:t>
      </w:r>
    </w:p>
    <w:p w14:paraId="78E6BB3D" w14:textId="22445971" w:rsidR="00BD7890" w:rsidRPr="00F97CB0" w:rsidRDefault="00BD7890" w:rsidP="00BD789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 support of that opinion of the Council, it should be borne in mind that the only two offers for the purchase of the Institute came from companies that not only do not engage in scientific and research work, but have been in a business relationship with Institute itself for years, as well as with the State, </w:t>
      </w:r>
      <w:r w:rsidRPr="00F97CB0">
        <w:rPr>
          <w:rFonts w:ascii="Times New Roman" w:hAnsi="Times New Roman"/>
          <w:b/>
          <w:bCs/>
          <w:sz w:val="24"/>
        </w:rPr>
        <w:t>which</w:t>
      </w:r>
      <w:r w:rsidRPr="00F97CB0">
        <w:rPr>
          <w:rFonts w:ascii="Times New Roman" w:hAnsi="Times New Roman"/>
          <w:sz w:val="24"/>
        </w:rPr>
        <w:t xml:space="preserve"> involved them in various projects.</w:t>
      </w:r>
    </w:p>
    <w:p w14:paraId="46AA03ED" w14:textId="35C3EC84" w:rsidR="00BD7890" w:rsidRPr="00F97CB0" w:rsidRDefault="00BD7890" w:rsidP="00BD7890">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Besides the Millennium </w:t>
      </w:r>
      <w:r w:rsidR="00062E74">
        <w:rPr>
          <w:rFonts w:ascii="Times New Roman" w:hAnsi="Times New Roman"/>
          <w:sz w:val="24"/>
        </w:rPr>
        <w:t>T</w:t>
      </w:r>
      <w:r w:rsidRPr="00F97CB0">
        <w:rPr>
          <w:rFonts w:ascii="Times New Roman" w:hAnsi="Times New Roman"/>
          <w:sz w:val="24"/>
        </w:rPr>
        <w:t>eam, which is engaged in the Belgrade Waterfront project, the construction of the PP Makiš pipeline, etc., for which the director of the Jaroslav Černi Water Institute himself claims that has been in a contractual relationship with the Institute for years, as well as that new joint projects are planned, the other bidder, the BAUWISEN Company, also does not engage in scientific and research work, but is engaged by the State in a series of projects such as the construction of the road around the new bus station in Block 42 in New Belgrade, the reconstruction of Karađorđeva Street in Belgrade, etc.</w:t>
      </w:r>
    </w:p>
    <w:p w14:paraId="0F1BC8C7" w14:textId="75585D3D" w:rsidR="00BD7890" w:rsidRPr="00F97CB0" w:rsidRDefault="00BD7890" w:rsidP="00BD7890">
      <w:pPr>
        <w:pStyle w:val="NoSpacing"/>
        <w:ind w:firstLine="720"/>
        <w:jc w:val="both"/>
        <w:rPr>
          <w:rFonts w:ascii="Times New Roman" w:hAnsi="Times New Roman" w:cs="Times New Roman"/>
          <w:sz w:val="24"/>
          <w:szCs w:val="24"/>
        </w:rPr>
      </w:pPr>
      <w:r w:rsidRPr="00F97CB0">
        <w:rPr>
          <w:rFonts w:ascii="Times New Roman" w:hAnsi="Times New Roman"/>
          <w:sz w:val="24"/>
        </w:rPr>
        <w:lastRenderedPageBreak/>
        <w:t>It is therefore obvious that the sale of the Jaroslav Černi Water Institute was carried out in a closed circle of actors with already known buyers and with the view to transfer state-owned capital into private hands so that private interests in the projects on which they are engaged or will be engaged can be more easily reached, where the general interest is completely marginalized and put on the back burner.</w:t>
      </w:r>
    </w:p>
    <w:p w14:paraId="4D16CA34" w14:textId="57F1EB33" w:rsidR="00376090" w:rsidRPr="00F97CB0" w:rsidRDefault="00372B85"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 addition to the aforementioned facts that indicate that the privatisation, </w:t>
      </w:r>
      <w:r w:rsidR="00861455" w:rsidRPr="00F97CB0">
        <w:rPr>
          <w:rFonts w:ascii="Times New Roman" w:hAnsi="Times New Roman"/>
          <w:sz w:val="24"/>
        </w:rPr>
        <w:t>i.e.,</w:t>
      </w:r>
      <w:r w:rsidRPr="00F97CB0">
        <w:rPr>
          <w:rFonts w:ascii="Times New Roman" w:hAnsi="Times New Roman"/>
          <w:sz w:val="24"/>
        </w:rPr>
        <w:t xml:space="preserve"> the sale of the Jaroslav Černi Water Institute is contrary to the previously mentioned planning documents and regulations, and that it cannot subsist as such, the very procedure of the sale of the Jaroslav Černi Water Institute is illegal, and consequently and for that reason</w:t>
      </w:r>
      <w:r w:rsidR="00861455">
        <w:rPr>
          <w:rFonts w:ascii="Times New Roman" w:hAnsi="Times New Roman"/>
          <w:sz w:val="24"/>
        </w:rPr>
        <w:t>,</w:t>
      </w:r>
      <w:r w:rsidRPr="00F97CB0">
        <w:rPr>
          <w:rFonts w:ascii="Times New Roman" w:hAnsi="Times New Roman"/>
          <w:sz w:val="24"/>
        </w:rPr>
        <w:t xml:space="preserve"> such sale has to be annulled.</w:t>
      </w:r>
    </w:p>
    <w:p w14:paraId="725512B3" w14:textId="20A80658" w:rsidR="00C305EE" w:rsidRPr="00F97CB0" w:rsidRDefault="00703AF7"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Namely, the imperative provision of Article 57 of the Law on Science and Research, undoubtedly lays down that the Institute founded by the Republic of Serbia, which is organised as a company, can be privatised on the basis of a special program adopted by the Government of the Republic of Serbia at the proposal of the Ministry responsible for scientific and research activity with the prior opinion obtained from the National Council for Scientific and Technological Development.</w:t>
      </w:r>
    </w:p>
    <w:p w14:paraId="0ABA337B" w14:textId="690824EC" w:rsidR="00F855EE" w:rsidRPr="00F97CB0" w:rsidRDefault="00A01540"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The National Council for Scientific and Technological Development, as the highest professional and advisory body in the system of scientific and research activity in the Republic of Serbia, was established to improve scientific and technological development, the quality of scientific and research work and the development of scientific and research activity.</w:t>
      </w:r>
    </w:p>
    <w:p w14:paraId="54F990D0" w14:textId="787D7275" w:rsidR="00B168D3" w:rsidRPr="00F97CB0" w:rsidRDefault="00B168D3"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Contrary to the mentioned imperative provision of the Law on Science and Research, the </w:t>
      </w:r>
      <w:r w:rsidRPr="00F97CB0">
        <w:rPr>
          <w:rFonts w:ascii="Times New Roman" w:hAnsi="Times New Roman"/>
          <w:b/>
          <w:bCs/>
          <w:sz w:val="24"/>
        </w:rPr>
        <w:t>National Council for Scientific and Technological Development did not give its binding opinion on the sale of the Jaroslav Černi Water Institute</w:t>
      </w:r>
      <w:r w:rsidRPr="00F97CB0">
        <w:rPr>
          <w:rFonts w:ascii="Times New Roman" w:hAnsi="Times New Roman"/>
          <w:sz w:val="24"/>
        </w:rPr>
        <w:t>.</w:t>
      </w:r>
    </w:p>
    <w:p w14:paraId="538D547D" w14:textId="3D388F36" w:rsidR="008C3184" w:rsidRPr="00F97CB0" w:rsidRDefault="00F90A58" w:rsidP="00F855EE">
      <w:pPr>
        <w:pStyle w:val="NoSpacing"/>
        <w:ind w:firstLine="720"/>
        <w:jc w:val="both"/>
        <w:rPr>
          <w:rFonts w:ascii="Times New Roman" w:hAnsi="Times New Roman" w:cs="Times New Roman"/>
          <w:b/>
          <w:bCs/>
          <w:sz w:val="24"/>
          <w:szCs w:val="24"/>
        </w:rPr>
      </w:pPr>
      <w:r w:rsidRPr="00F97CB0">
        <w:rPr>
          <w:rFonts w:ascii="Times New Roman" w:hAnsi="Times New Roman"/>
          <w:sz w:val="24"/>
        </w:rPr>
        <w:t xml:space="preserve">The absence of the opinion of the National Council for Scientific and Technological Development on the sale of the Jaroslav Černi Water Institute, and consequently the absence of the proposal of the Ministry of Education, Science and Technological Development to the Government of the Republic, which did not prepare a program in accordance with the law according to which the Institute can be privatised, represents a </w:t>
      </w:r>
      <w:r w:rsidRPr="00F97CB0">
        <w:rPr>
          <w:rFonts w:ascii="Times New Roman" w:hAnsi="Times New Roman"/>
          <w:b/>
          <w:bCs/>
          <w:sz w:val="24"/>
        </w:rPr>
        <w:t xml:space="preserve">crucial fact that makes the Decision of the Ministry of Economy </w:t>
      </w:r>
      <w:r w:rsidR="00A835D4">
        <w:rPr>
          <w:rFonts w:ascii="Times New Roman" w:hAnsi="Times New Roman"/>
          <w:b/>
          <w:bCs/>
          <w:sz w:val="24"/>
        </w:rPr>
        <w:t>N</w:t>
      </w:r>
      <w:r w:rsidRPr="00F97CB0">
        <w:rPr>
          <w:rFonts w:ascii="Times New Roman" w:hAnsi="Times New Roman"/>
          <w:b/>
          <w:bCs/>
          <w:sz w:val="24"/>
        </w:rPr>
        <w:t>o. 023-02-689/2021-05 of 28 November 2021</w:t>
      </w:r>
      <w:r w:rsidRPr="00F97CB0">
        <w:rPr>
          <w:rFonts w:ascii="Times New Roman" w:hAnsi="Times New Roman"/>
          <w:sz w:val="24"/>
        </w:rPr>
        <w:t xml:space="preserve"> on the declaration of the buyer – the Consortium, which consists of the legal entity Company for Engineering, Production and Services Millennium </w:t>
      </w:r>
      <w:r w:rsidR="00062E74">
        <w:rPr>
          <w:rFonts w:ascii="Times New Roman" w:hAnsi="Times New Roman"/>
          <w:sz w:val="24"/>
        </w:rPr>
        <w:t>T</w:t>
      </w:r>
      <w:r w:rsidRPr="00F97CB0">
        <w:rPr>
          <w:rFonts w:ascii="Times New Roman" w:hAnsi="Times New Roman"/>
          <w:sz w:val="24"/>
        </w:rPr>
        <w:t xml:space="preserve">eam, Belgrade and natural persons as members of the Consortium, in the procedure of sale of the joint stock company Jaroslav Černi Water Institute, Belgrade, </w:t>
      </w:r>
      <w:r w:rsidRPr="00F97CB0">
        <w:rPr>
          <w:rFonts w:ascii="Times New Roman" w:hAnsi="Times New Roman"/>
          <w:b/>
          <w:bCs/>
          <w:sz w:val="24"/>
        </w:rPr>
        <w:t>illegal, i.e.</w:t>
      </w:r>
      <w:r w:rsidR="00A835D4">
        <w:rPr>
          <w:rFonts w:ascii="Times New Roman" w:hAnsi="Times New Roman"/>
          <w:b/>
          <w:bCs/>
          <w:sz w:val="24"/>
        </w:rPr>
        <w:t>,</w:t>
      </w:r>
      <w:r w:rsidRPr="00F97CB0">
        <w:rPr>
          <w:rFonts w:ascii="Times New Roman" w:hAnsi="Times New Roman"/>
          <w:b/>
          <w:bCs/>
          <w:sz w:val="24"/>
        </w:rPr>
        <w:t xml:space="preserve"> void</w:t>
      </w:r>
      <w:r w:rsidRPr="00F97CB0">
        <w:rPr>
          <w:rFonts w:ascii="Times New Roman" w:hAnsi="Times New Roman"/>
          <w:sz w:val="24"/>
        </w:rPr>
        <w:t>.</w:t>
      </w:r>
    </w:p>
    <w:p w14:paraId="4D5858DA" w14:textId="132A5AC8" w:rsidR="008F2F8E" w:rsidRPr="00A835D4" w:rsidRDefault="003B70E2" w:rsidP="00F855EE">
      <w:pPr>
        <w:pStyle w:val="NoSpacing"/>
        <w:ind w:firstLine="720"/>
        <w:jc w:val="both"/>
        <w:rPr>
          <w:rFonts w:ascii="Times New Roman" w:hAnsi="Times New Roman" w:cs="Times New Roman"/>
          <w:sz w:val="24"/>
          <w:szCs w:val="24"/>
        </w:rPr>
      </w:pPr>
      <w:r w:rsidRPr="00A835D4">
        <w:rPr>
          <w:rFonts w:ascii="Times New Roman" w:hAnsi="Times New Roman" w:cs="Times New Roman"/>
          <w:sz w:val="24"/>
          <w:szCs w:val="24"/>
        </w:rPr>
        <w:t xml:space="preserve">In addition to the above mentioned, and having regard to the fact that the Ministry of Economy rejected the request of the Anti-corruption Council for the delivery of the report of the authorised assessor on the estimated value of the capital of the Jaroslav Černi Water Institute, from which it could be possible to draw a conclusion about parameters that were used in the estimation of the value of the Institute's capital and the method of determining the initial price of the Institute in the amount of 2,576,066.92 euros – which is the estimate that was submitted by the Institute to the Ministry of Economy on 30 June 2021 – the Council is of the opinion that in this particular case there is a possibility of a conflict of interest and abuse in the assessment of the fair value of the assets of the Institute, bearing in mind that, according to the Consortium Agreement, as regards the sales value of the capital of the Institute in the amount of 2,576,066.92 euros, </w:t>
      </w:r>
      <w:r w:rsidRPr="00A835D4">
        <w:rPr>
          <w:rFonts w:ascii="Times New Roman" w:hAnsi="Times New Roman" w:cs="Times New Roman"/>
          <w:b/>
          <w:bCs/>
          <w:sz w:val="24"/>
          <w:szCs w:val="24"/>
        </w:rPr>
        <w:t>30% of the capital in the amount of 774,000 euros are purchased by natural persons, i.e. seven executive directors of the Institute</w:t>
      </w:r>
      <w:r w:rsidRPr="00A835D4">
        <w:rPr>
          <w:rFonts w:ascii="Times New Roman" w:hAnsi="Times New Roman" w:cs="Times New Roman"/>
          <w:sz w:val="24"/>
          <w:szCs w:val="24"/>
        </w:rPr>
        <w:t xml:space="preserve">, and the remaining part of the capital in the amount of 1,806,000 euros is purchased by the Millennium </w:t>
      </w:r>
      <w:r w:rsidR="00062E74">
        <w:rPr>
          <w:rFonts w:ascii="Times New Roman" w:hAnsi="Times New Roman" w:cs="Times New Roman"/>
          <w:sz w:val="24"/>
          <w:szCs w:val="24"/>
        </w:rPr>
        <w:t>T</w:t>
      </w:r>
      <w:r w:rsidRPr="00A835D4">
        <w:rPr>
          <w:rFonts w:ascii="Times New Roman" w:hAnsi="Times New Roman" w:cs="Times New Roman"/>
          <w:sz w:val="24"/>
          <w:szCs w:val="24"/>
        </w:rPr>
        <w:t>eam</w:t>
      </w:r>
      <w:r w:rsidR="007A7F47">
        <w:rPr>
          <w:rFonts w:ascii="Times New Roman" w:hAnsi="Times New Roman" w:cs="Times New Roman"/>
          <w:sz w:val="24"/>
          <w:szCs w:val="24"/>
        </w:rPr>
        <w:t xml:space="preserve"> </w:t>
      </w:r>
      <w:r w:rsidRPr="00A835D4">
        <w:rPr>
          <w:rFonts w:ascii="Times New Roman" w:hAnsi="Times New Roman" w:cs="Times New Roman"/>
          <w:sz w:val="24"/>
          <w:szCs w:val="24"/>
        </w:rPr>
        <w:t>as a member of the Consortium.</w:t>
      </w:r>
    </w:p>
    <w:p w14:paraId="720B20EE" w14:textId="49389549" w:rsidR="00841ECA" w:rsidRPr="00F97CB0" w:rsidRDefault="00841ECA" w:rsidP="00841ECA">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 accordance with the aforementioned suspected conflict of interest, the Council points out that the </w:t>
      </w:r>
      <w:r w:rsidR="00EA5832" w:rsidRPr="00F97CB0">
        <w:rPr>
          <w:rFonts w:ascii="Times New Roman" w:hAnsi="Times New Roman"/>
          <w:sz w:val="24"/>
        </w:rPr>
        <w:t>M</w:t>
      </w:r>
      <w:r w:rsidRPr="00F97CB0">
        <w:rPr>
          <w:rFonts w:ascii="Times New Roman" w:hAnsi="Times New Roman"/>
          <w:sz w:val="24"/>
        </w:rPr>
        <w:t xml:space="preserve">anaging </w:t>
      </w:r>
      <w:r w:rsidR="00EA5832" w:rsidRPr="00F97CB0">
        <w:rPr>
          <w:rFonts w:ascii="Times New Roman" w:hAnsi="Times New Roman"/>
          <w:sz w:val="24"/>
        </w:rPr>
        <w:t>D</w:t>
      </w:r>
      <w:r w:rsidRPr="00F97CB0">
        <w:rPr>
          <w:rFonts w:ascii="Times New Roman" w:hAnsi="Times New Roman"/>
          <w:sz w:val="24"/>
        </w:rPr>
        <w:t xml:space="preserve">irector and executive directors of the Jaroslav Černi Water Institute, joint </w:t>
      </w:r>
      <w:r w:rsidRPr="00F97CB0">
        <w:rPr>
          <w:rFonts w:ascii="Times New Roman" w:hAnsi="Times New Roman"/>
          <w:sz w:val="24"/>
        </w:rPr>
        <w:lastRenderedPageBreak/>
        <w:t>stock company, Belgrade, in the moment of the conclusion of the Consortium Agreement with the Millennium Team</w:t>
      </w:r>
      <w:r w:rsidR="00F97CB0" w:rsidRPr="00F97CB0">
        <w:rPr>
          <w:rFonts w:ascii="Times New Roman" w:hAnsi="Times New Roman"/>
          <w:sz w:val="24"/>
        </w:rPr>
        <w:t xml:space="preserve"> Company</w:t>
      </w:r>
      <w:r w:rsidRPr="00F97CB0">
        <w:rPr>
          <w:rFonts w:ascii="Times New Roman" w:hAnsi="Times New Roman"/>
          <w:sz w:val="24"/>
        </w:rPr>
        <w:t xml:space="preserve"> had the status of public officials within the meaning of Article 2 of the Law on Prevention of Corruption, and in that capacity, at the latest within five days of the day that they have received the offer from the Millennium </w:t>
      </w:r>
      <w:r w:rsidR="00062E74">
        <w:rPr>
          <w:rFonts w:ascii="Times New Roman" w:hAnsi="Times New Roman"/>
          <w:sz w:val="24"/>
        </w:rPr>
        <w:t>T</w:t>
      </w:r>
      <w:r w:rsidRPr="00F97CB0">
        <w:rPr>
          <w:rFonts w:ascii="Times New Roman" w:hAnsi="Times New Roman"/>
          <w:sz w:val="24"/>
        </w:rPr>
        <w:t>eam</w:t>
      </w:r>
      <w:r w:rsidR="007A7F47">
        <w:rPr>
          <w:rFonts w:ascii="Times New Roman" w:hAnsi="Times New Roman"/>
          <w:sz w:val="24"/>
        </w:rPr>
        <w:t xml:space="preserve"> Company</w:t>
      </w:r>
      <w:r w:rsidRPr="00F97CB0">
        <w:rPr>
          <w:rFonts w:ascii="Times New Roman" w:hAnsi="Times New Roman"/>
          <w:sz w:val="24"/>
        </w:rPr>
        <w:t xml:space="preserve"> for the conclusion of the Consortium Agreement, they were obliged to, in accordance with Article 42(1) of the Law on the Prevention of Corruption, inform the Anti-corruption Agency about the suspected conflict of interest and ask the Agency for an opinion on whether there is a conflict of interest in the specific case, and whether the Consortium Agreement with the Millennium </w:t>
      </w:r>
      <w:r w:rsidR="00062E74">
        <w:rPr>
          <w:rFonts w:ascii="Times New Roman" w:hAnsi="Times New Roman"/>
          <w:sz w:val="24"/>
        </w:rPr>
        <w:t>T</w:t>
      </w:r>
      <w:r w:rsidRPr="00F97CB0">
        <w:rPr>
          <w:rFonts w:ascii="Times New Roman" w:hAnsi="Times New Roman"/>
          <w:sz w:val="24"/>
        </w:rPr>
        <w:t>eam</w:t>
      </w:r>
      <w:r w:rsidR="007A7F47">
        <w:rPr>
          <w:rFonts w:ascii="Times New Roman" w:hAnsi="Times New Roman"/>
          <w:sz w:val="24"/>
        </w:rPr>
        <w:t xml:space="preserve"> Company</w:t>
      </w:r>
      <w:r w:rsidRPr="00F97CB0">
        <w:rPr>
          <w:rFonts w:ascii="Times New Roman" w:hAnsi="Times New Roman"/>
          <w:sz w:val="24"/>
        </w:rPr>
        <w:t xml:space="preserve"> can be concluded.</w:t>
      </w:r>
    </w:p>
    <w:p w14:paraId="2C339AAC" w14:textId="6C145877" w:rsidR="00841ECA" w:rsidRPr="007A7F47" w:rsidRDefault="00841ECA" w:rsidP="00841ECA">
      <w:pPr>
        <w:pStyle w:val="NoSpacing"/>
        <w:ind w:firstLine="720"/>
        <w:jc w:val="both"/>
        <w:rPr>
          <w:rFonts w:ascii="Times New Roman" w:hAnsi="Times New Roman" w:cs="Times New Roman"/>
          <w:sz w:val="24"/>
          <w:szCs w:val="24"/>
        </w:rPr>
      </w:pPr>
      <w:r w:rsidRPr="007A7F47">
        <w:rPr>
          <w:rFonts w:ascii="Times New Roman" w:hAnsi="Times New Roman" w:cs="Times New Roman"/>
          <w:sz w:val="24"/>
          <w:szCs w:val="24"/>
        </w:rPr>
        <w:t xml:space="preserve">However, according to the knowledge of the Council, the Anti-corruption Agency determined that as of 10 December 2021, the </w:t>
      </w:r>
      <w:r w:rsidR="00EA5832" w:rsidRPr="007A7F47">
        <w:rPr>
          <w:rFonts w:ascii="Times New Roman" w:hAnsi="Times New Roman" w:cs="Times New Roman"/>
          <w:sz w:val="24"/>
          <w:szCs w:val="24"/>
        </w:rPr>
        <w:t>M</w:t>
      </w:r>
      <w:r w:rsidRPr="007A7F47">
        <w:rPr>
          <w:rFonts w:ascii="Times New Roman" w:hAnsi="Times New Roman" w:cs="Times New Roman"/>
          <w:sz w:val="24"/>
          <w:szCs w:val="24"/>
        </w:rPr>
        <w:t xml:space="preserve">anaging </w:t>
      </w:r>
      <w:r w:rsidR="00EA5832" w:rsidRPr="007A7F47">
        <w:rPr>
          <w:rFonts w:ascii="Times New Roman" w:hAnsi="Times New Roman" w:cs="Times New Roman"/>
          <w:sz w:val="24"/>
          <w:szCs w:val="24"/>
        </w:rPr>
        <w:t>D</w:t>
      </w:r>
      <w:r w:rsidRPr="007A7F47">
        <w:rPr>
          <w:rFonts w:ascii="Times New Roman" w:hAnsi="Times New Roman" w:cs="Times New Roman"/>
          <w:sz w:val="24"/>
          <w:szCs w:val="24"/>
        </w:rPr>
        <w:t xml:space="preserve">irector and executive directors of the Jaroslav Černi Water Institute, joint stock company, Dejan Divac, Dejan Vučković, Nikola Milivojević, Goran Nikolić, Miodrag Popović, Mile Božić and Dušan Ćirić did not submit to the Agency requests for an opinion, nor requests for an consent, nor did they inform the Agency of suspected conflicts of interest in accordance with Article 42(1) of the Law on the Prevention of Corruption, and without the opinion of the Agency, contrary to the aforementioned provision of the Law, they concluded the Consortium Agreement with the Millennium </w:t>
      </w:r>
      <w:r w:rsidR="00062E74">
        <w:rPr>
          <w:rFonts w:ascii="Times New Roman" w:hAnsi="Times New Roman" w:cs="Times New Roman"/>
          <w:sz w:val="24"/>
          <w:szCs w:val="24"/>
        </w:rPr>
        <w:t>T</w:t>
      </w:r>
      <w:r w:rsidRPr="007A7F47">
        <w:rPr>
          <w:rFonts w:ascii="Times New Roman" w:hAnsi="Times New Roman" w:cs="Times New Roman"/>
          <w:sz w:val="24"/>
          <w:szCs w:val="24"/>
        </w:rPr>
        <w:t>eam</w:t>
      </w:r>
      <w:r w:rsidR="007A7F47">
        <w:rPr>
          <w:rFonts w:ascii="Times New Roman" w:hAnsi="Times New Roman" w:cs="Times New Roman"/>
          <w:sz w:val="24"/>
          <w:szCs w:val="24"/>
        </w:rPr>
        <w:t xml:space="preserve"> Company</w:t>
      </w:r>
      <w:r w:rsidRPr="007A7F47">
        <w:rPr>
          <w:rFonts w:ascii="Times New Roman" w:hAnsi="Times New Roman" w:cs="Times New Roman"/>
          <w:sz w:val="24"/>
          <w:szCs w:val="24"/>
        </w:rPr>
        <w:t>, which was certified before the notary public under No. UOP-I: 9949-2021 of 29 October 2021. Therefore, in the opinion of the Council, the concluded Consortium Agreement is illegal and as such shall not have legal effects.</w:t>
      </w:r>
      <w:r w:rsidR="009B362B" w:rsidRPr="007A7F47">
        <w:rPr>
          <w:rFonts w:ascii="Times New Roman" w:hAnsi="Times New Roman" w:cs="Times New Roman"/>
          <w:sz w:val="24"/>
          <w:szCs w:val="24"/>
          <w:vertAlign w:val="superscript"/>
        </w:rPr>
        <w:footnoteReference w:id="26"/>
      </w:r>
    </w:p>
    <w:p w14:paraId="6537A745" w14:textId="5038E04E" w:rsidR="0092669D" w:rsidRPr="007A7F47" w:rsidRDefault="009F65C7" w:rsidP="00F855EE">
      <w:pPr>
        <w:pStyle w:val="NoSpacing"/>
        <w:ind w:firstLine="720"/>
        <w:jc w:val="both"/>
        <w:rPr>
          <w:rFonts w:ascii="Times New Roman" w:hAnsi="Times New Roman" w:cs="Times New Roman"/>
          <w:b/>
          <w:bCs/>
          <w:sz w:val="24"/>
          <w:szCs w:val="24"/>
        </w:rPr>
      </w:pPr>
      <w:r w:rsidRPr="007A7F47">
        <w:rPr>
          <w:rFonts w:ascii="Times New Roman" w:hAnsi="Times New Roman" w:cs="Times New Roman"/>
          <w:sz w:val="24"/>
          <w:szCs w:val="24"/>
        </w:rPr>
        <w:t>In addition to the above, the sale of the Jaroslav Černi Water Institute, as a leading scientific and research organisation in the field of water activity in the Republic of Serbia, to the Millennium Team</w:t>
      </w:r>
      <w:r w:rsidR="007A7F47">
        <w:rPr>
          <w:rFonts w:ascii="Times New Roman" w:hAnsi="Times New Roman" w:cs="Times New Roman"/>
          <w:sz w:val="24"/>
          <w:szCs w:val="24"/>
        </w:rPr>
        <w:t xml:space="preserve"> </w:t>
      </w:r>
      <w:r w:rsidR="007A7F47" w:rsidRPr="007A7F47">
        <w:rPr>
          <w:rFonts w:ascii="Times New Roman" w:hAnsi="Times New Roman" w:cs="Times New Roman"/>
          <w:sz w:val="24"/>
          <w:szCs w:val="24"/>
        </w:rPr>
        <w:t>Company</w:t>
      </w:r>
      <w:r w:rsidRPr="007A7F47">
        <w:rPr>
          <w:rFonts w:ascii="Times New Roman" w:hAnsi="Times New Roman" w:cs="Times New Roman"/>
          <w:sz w:val="24"/>
          <w:szCs w:val="24"/>
        </w:rPr>
        <w:t xml:space="preserve">, </w:t>
      </w:r>
      <w:r w:rsidRPr="007A7F47">
        <w:rPr>
          <w:rFonts w:ascii="Times New Roman" w:hAnsi="Times New Roman" w:cs="Times New Roman"/>
          <w:b/>
          <w:bCs/>
          <w:sz w:val="24"/>
          <w:szCs w:val="24"/>
        </w:rPr>
        <w:t>whose activity does not entail scientific and research work</w:t>
      </w:r>
      <w:r w:rsidRPr="007A7F47">
        <w:rPr>
          <w:rFonts w:ascii="Times New Roman" w:hAnsi="Times New Roman" w:cs="Times New Roman"/>
          <w:sz w:val="24"/>
          <w:szCs w:val="24"/>
        </w:rPr>
        <w:t xml:space="preserve"> and which already has contracted projects with the Institute, such as the construction of the Belgrade sewage system and other </w:t>
      </w:r>
      <w:r w:rsidRPr="007A7F47">
        <w:rPr>
          <w:rFonts w:ascii="Times New Roman" w:hAnsi="Times New Roman" w:cs="Times New Roman"/>
          <w:b/>
          <w:bCs/>
          <w:sz w:val="24"/>
          <w:szCs w:val="24"/>
        </w:rPr>
        <w:t>projects that are being prepared</w:t>
      </w:r>
      <w:r w:rsidRPr="007A7F47">
        <w:rPr>
          <w:rFonts w:ascii="Times New Roman" w:hAnsi="Times New Roman" w:cs="Times New Roman"/>
          <w:sz w:val="24"/>
          <w:szCs w:val="24"/>
        </w:rPr>
        <w:t xml:space="preserve">, in the opinion of the Council, give rise to a doubt about the possibility of acts of corruption in the sale of the Institute, which </w:t>
      </w:r>
      <w:r w:rsidRPr="007A7F47">
        <w:rPr>
          <w:rFonts w:ascii="Times New Roman" w:hAnsi="Times New Roman" w:cs="Times New Roman"/>
          <w:b/>
          <w:bCs/>
          <w:sz w:val="24"/>
          <w:szCs w:val="24"/>
        </w:rPr>
        <w:t>favours the private over the public interest</w:t>
      </w:r>
      <w:r w:rsidRPr="007A7F47">
        <w:rPr>
          <w:rFonts w:ascii="Times New Roman" w:hAnsi="Times New Roman" w:cs="Times New Roman"/>
          <w:sz w:val="24"/>
          <w:szCs w:val="24"/>
        </w:rPr>
        <w:t>.</w:t>
      </w:r>
    </w:p>
    <w:p w14:paraId="51FC550F" w14:textId="16B8990D" w:rsidR="00176ED9" w:rsidRPr="00F97CB0" w:rsidRDefault="00176ED9" w:rsidP="00176ED9">
      <w:pPr>
        <w:spacing w:after="0" w:line="240" w:lineRule="auto"/>
        <w:ind w:firstLine="720"/>
        <w:jc w:val="both"/>
        <w:rPr>
          <w:rFonts w:ascii="Times New Roman" w:eastAsiaTheme="minorEastAsia" w:hAnsi="Times New Roman" w:cs="Times New Roman"/>
          <w:sz w:val="24"/>
          <w:szCs w:val="24"/>
        </w:rPr>
      </w:pPr>
      <w:r w:rsidRPr="007A7F47">
        <w:rPr>
          <w:rFonts w:ascii="Times New Roman" w:hAnsi="Times New Roman" w:cs="Times New Roman"/>
          <w:sz w:val="24"/>
          <w:szCs w:val="24"/>
        </w:rPr>
        <w:t>Namely, in accordance with the provisions of Article 40 of the Law on the Prevention of Corruption, public officials are obliged not to subordinate public to private interest, to comply</w:t>
      </w:r>
      <w:r w:rsidRPr="00F97CB0">
        <w:rPr>
          <w:rFonts w:ascii="Times New Roman" w:hAnsi="Times New Roman"/>
          <w:sz w:val="24"/>
        </w:rPr>
        <w:t xml:space="preserve"> with the regulations governing their rights and obligations, and to maintain trust of the citizens concerning their conscientious and responsible discharge of public office. At the same time, a public official shall not to be dependent on persons who could influence his impartiality, nor use public office to acquire any benefit or advantage for himself or any associated person. In addition, public officials are prohibited from using, for the purpose of acquiring benefit or advantage for themselves or others or causing harm to others, information they have obtained while holding the public office, where it is not available to the public.</w:t>
      </w:r>
    </w:p>
    <w:p w14:paraId="05C86E42" w14:textId="7E2DF053" w:rsidR="00176ED9" w:rsidRPr="00F97CB0" w:rsidRDefault="00176ED9" w:rsidP="00176ED9">
      <w:pPr>
        <w:spacing w:after="0" w:line="240" w:lineRule="auto"/>
        <w:ind w:firstLine="720"/>
        <w:jc w:val="both"/>
        <w:rPr>
          <w:rFonts w:ascii="Times New Roman" w:eastAsiaTheme="minorEastAsia" w:hAnsi="Times New Roman" w:cs="Times New Roman"/>
          <w:sz w:val="24"/>
          <w:szCs w:val="24"/>
        </w:rPr>
      </w:pPr>
      <w:r w:rsidRPr="00F97CB0">
        <w:rPr>
          <w:rFonts w:ascii="Times New Roman" w:hAnsi="Times New Roman"/>
          <w:sz w:val="24"/>
        </w:rPr>
        <w:t xml:space="preserve">Taking into account the fact that the directors of the Jaroslav Černi Water Institute, who will become members of the Consortium and owners of share capital, were previously authorised to undertake preparatory actions in the process of privatisation of the Institute in accordance with Article 20 of the Law on Privatisation, such as the making of the inventory and assessment of the fair market value of all assets and liabilities and capital of the Institute, the previously expressed suspicion of the Council that in this particular case the general interest is subordinated to the private interest with elements of acts of corruption is justified, given that the responsible persons in the Institute as a privatisation </w:t>
      </w:r>
      <w:r w:rsidR="007D59AA">
        <w:rPr>
          <w:rFonts w:ascii="Times New Roman" w:hAnsi="Times New Roman" w:cs="Times New Roman"/>
          <w:sz w:val="24"/>
          <w:szCs w:val="24"/>
        </w:rPr>
        <w:t>entity</w:t>
      </w:r>
      <w:r w:rsidR="007D59AA" w:rsidRPr="00F97CB0">
        <w:rPr>
          <w:rFonts w:ascii="Times New Roman" w:hAnsi="Times New Roman"/>
          <w:sz w:val="24"/>
        </w:rPr>
        <w:t xml:space="preserve"> </w:t>
      </w:r>
      <w:r w:rsidRPr="00F97CB0">
        <w:rPr>
          <w:rFonts w:ascii="Times New Roman" w:hAnsi="Times New Roman"/>
          <w:sz w:val="24"/>
        </w:rPr>
        <w:t>at the same time participated in that procedure and made the first ranked offer for the purchase of the share capital of the Institute.</w:t>
      </w:r>
    </w:p>
    <w:p w14:paraId="2FB9137D" w14:textId="7F321338" w:rsidR="00B42180" w:rsidRPr="007A7F47" w:rsidRDefault="009E60F0" w:rsidP="00F855EE">
      <w:pPr>
        <w:pStyle w:val="NoSpacing"/>
        <w:ind w:firstLine="720"/>
        <w:jc w:val="both"/>
        <w:rPr>
          <w:rFonts w:ascii="Times New Roman" w:hAnsi="Times New Roman" w:cs="Times New Roman"/>
          <w:sz w:val="24"/>
          <w:szCs w:val="24"/>
        </w:rPr>
      </w:pPr>
      <w:r w:rsidRPr="007A7F47">
        <w:rPr>
          <w:rFonts w:ascii="Times New Roman" w:hAnsi="Times New Roman" w:cs="Times New Roman"/>
          <w:sz w:val="24"/>
          <w:szCs w:val="24"/>
        </w:rPr>
        <w:lastRenderedPageBreak/>
        <w:t>When it comes to the buyer of the Jaroslav Černi Water Institute, the Millennium Team Company from Belgrade, the Anti-Corruption Council, in its 2020 Report on the disposal of the facilities of Special Hospitals for Rehabilitation owned by Pension and Disability Insurance Fund and the Republic of Serbia</w:t>
      </w:r>
      <w:r w:rsidR="00F855EE" w:rsidRPr="007A7F47">
        <w:rPr>
          <w:rFonts w:ascii="Times New Roman" w:hAnsi="Times New Roman" w:cs="Times New Roman"/>
          <w:sz w:val="24"/>
          <w:szCs w:val="24"/>
          <w:vertAlign w:val="superscript"/>
        </w:rPr>
        <w:footnoteReference w:id="27"/>
      </w:r>
      <w:r w:rsidRPr="007A7F47">
        <w:rPr>
          <w:rFonts w:ascii="Times New Roman" w:hAnsi="Times New Roman" w:cs="Times New Roman"/>
          <w:sz w:val="24"/>
          <w:szCs w:val="24"/>
        </w:rPr>
        <w:t>, pointed out unlawfulness in the sale of the land and facilities of the Special Hospital Vranjska Banja, i.e.</w:t>
      </w:r>
      <w:r w:rsidR="009E4999">
        <w:rPr>
          <w:rFonts w:ascii="Times New Roman" w:hAnsi="Times New Roman" w:cs="Times New Roman"/>
          <w:sz w:val="24"/>
          <w:szCs w:val="24"/>
        </w:rPr>
        <w:t>,</w:t>
      </w:r>
      <w:r w:rsidRPr="007A7F47">
        <w:rPr>
          <w:rFonts w:ascii="Times New Roman" w:hAnsi="Times New Roman" w:cs="Times New Roman"/>
          <w:sz w:val="24"/>
          <w:szCs w:val="24"/>
        </w:rPr>
        <w:t xml:space="preserve"> in their purchase by the Millennium Team Company, for the total amount of 1,855,000 euros.</w:t>
      </w:r>
    </w:p>
    <w:p w14:paraId="65438B23" w14:textId="419E559E" w:rsidR="007337BC" w:rsidRPr="00F97CB0" w:rsidRDefault="00E43F0E"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On that occasion, it was stated that in the sale of the Spa Complex Žubor in Kuršumlijska Banja and the Special Hospital for Rehabilitation Vranjska Banj</w:t>
      </w:r>
      <w:r w:rsidR="009E4999">
        <w:rPr>
          <w:rFonts w:ascii="Times New Roman" w:hAnsi="Times New Roman"/>
          <w:sz w:val="24"/>
        </w:rPr>
        <w:t>a</w:t>
      </w:r>
      <w:r w:rsidRPr="00F97CB0">
        <w:rPr>
          <w:rFonts w:ascii="Times New Roman" w:hAnsi="Times New Roman"/>
          <w:sz w:val="24"/>
        </w:rPr>
        <w:t xml:space="preserve"> there is a reasonable </w:t>
      </w:r>
      <w:r w:rsidR="009E4999">
        <w:rPr>
          <w:rFonts w:ascii="Times New Roman" w:hAnsi="Times New Roman"/>
          <w:sz w:val="24"/>
        </w:rPr>
        <w:t>‘</w:t>
      </w:r>
      <w:r w:rsidRPr="00F97CB0">
        <w:rPr>
          <w:rFonts w:ascii="Times New Roman" w:hAnsi="Times New Roman"/>
          <w:sz w:val="24"/>
        </w:rPr>
        <w:t>suspicion that there are elements of systemically organized corruption of large scale, aimed, on the one hand, at knowingly causing material damage to the Fund and the Republic of Serbia, and on the other hand knowingly enabling third parties to enrich themselves by doing or not doing so by the Fund and certain state bodies at the expense of their property by purchasing real estate at prices below market</w:t>
      </w:r>
      <w:r w:rsidR="009E4999">
        <w:rPr>
          <w:rFonts w:ascii="Times New Roman" w:hAnsi="Times New Roman"/>
          <w:sz w:val="24"/>
        </w:rPr>
        <w:t>’</w:t>
      </w:r>
      <w:r w:rsidRPr="00F97CB0">
        <w:rPr>
          <w:rFonts w:ascii="Times New Roman" w:hAnsi="Times New Roman"/>
          <w:sz w:val="24"/>
        </w:rPr>
        <w:t>, after which the Report with related opinion and recommendations was sent to the Government of the Republic of Serbia and the Prosecutor’s Office for organized crime.</w:t>
      </w:r>
    </w:p>
    <w:p w14:paraId="2D923DE6" w14:textId="12362932" w:rsidR="00661933" w:rsidRPr="009E4999" w:rsidRDefault="00D963FD" w:rsidP="00F855E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In t</w:t>
      </w:r>
      <w:r w:rsidR="00B56A52" w:rsidRPr="009E4999">
        <w:rPr>
          <w:rFonts w:ascii="Times New Roman" w:hAnsi="Times New Roman" w:cs="Times New Roman"/>
          <w:sz w:val="24"/>
          <w:szCs w:val="24"/>
        </w:rPr>
        <w:t>he 2021 report of the Anti-corruption Council “On activities after the sale of the Spa complex ‘Žubor’ in Kuršumlijska Banja, the Special Hospital in Vranjska Banja, the Special Hospital ‘Zlatar’, Nova Varoš and the sale of the remaining special hospitals for rehabilitation that are in the network of health institutions of the Republic of Serbia”</w:t>
      </w:r>
      <w:r w:rsidR="00F855EE" w:rsidRPr="009E4999">
        <w:rPr>
          <w:rFonts w:ascii="Times New Roman" w:hAnsi="Times New Roman" w:cs="Times New Roman"/>
          <w:sz w:val="24"/>
          <w:szCs w:val="24"/>
          <w:vertAlign w:val="superscript"/>
        </w:rPr>
        <w:footnoteReference w:id="28"/>
      </w:r>
      <w:r w:rsidR="00B56A52" w:rsidRPr="009E4999">
        <w:rPr>
          <w:rFonts w:ascii="Times New Roman" w:hAnsi="Times New Roman" w:cs="Times New Roman"/>
          <w:sz w:val="24"/>
          <w:szCs w:val="24"/>
        </w:rPr>
        <w:t xml:space="preserve">, it was concluded that after the purchase of the land and facilities of the Special Hospital Vranjska banja by the Millennium </w:t>
      </w:r>
      <w:r w:rsidR="00062E74">
        <w:rPr>
          <w:rFonts w:ascii="Times New Roman" w:hAnsi="Times New Roman" w:cs="Times New Roman"/>
          <w:sz w:val="24"/>
          <w:szCs w:val="24"/>
        </w:rPr>
        <w:t>T</w:t>
      </w:r>
      <w:r w:rsidR="00B56A52" w:rsidRPr="009E4999">
        <w:rPr>
          <w:rFonts w:ascii="Times New Roman" w:hAnsi="Times New Roman" w:cs="Times New Roman"/>
          <w:sz w:val="24"/>
          <w:szCs w:val="24"/>
        </w:rPr>
        <w:t xml:space="preserve">eam Company for the total amount of 1,855,000 euros, the Ministry of Economy, on 19 March 2021, concluded an agreement with the same </w:t>
      </w:r>
      <w:r>
        <w:rPr>
          <w:rFonts w:ascii="Times New Roman" w:hAnsi="Times New Roman" w:cs="Times New Roman"/>
          <w:sz w:val="24"/>
          <w:szCs w:val="24"/>
        </w:rPr>
        <w:t>c</w:t>
      </w:r>
      <w:r w:rsidR="00B56A52" w:rsidRPr="009E4999">
        <w:rPr>
          <w:rFonts w:ascii="Times New Roman" w:hAnsi="Times New Roman" w:cs="Times New Roman"/>
          <w:sz w:val="24"/>
          <w:szCs w:val="24"/>
        </w:rPr>
        <w:t>ompany on the granting of incentive funds in the amount of 10,143,837.30 euros, for the implementation of the Investment Project Vranjska Banja Resort.</w:t>
      </w:r>
    </w:p>
    <w:p w14:paraId="26ABCC77" w14:textId="2E305754" w:rsidR="00BB604E" w:rsidRPr="00F97CB0" w:rsidRDefault="00D1739B"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In the cited Report, the Council pointed out, among other things, the fact that the funds for the purchase of the real estate of the Special Hospital Vranjska banja were de facto refunded to Millennium </w:t>
      </w:r>
      <w:r w:rsidR="00062E74">
        <w:rPr>
          <w:rFonts w:ascii="Times New Roman" w:hAnsi="Times New Roman"/>
          <w:sz w:val="24"/>
        </w:rPr>
        <w:t>T</w:t>
      </w:r>
      <w:r w:rsidRPr="00F97CB0">
        <w:rPr>
          <w:rFonts w:ascii="Times New Roman" w:hAnsi="Times New Roman"/>
          <w:sz w:val="24"/>
        </w:rPr>
        <w:t xml:space="preserve">eam Company from the budget of the Republic of Serbia in the amount of 1,855,000 euros, and that the Millennium </w:t>
      </w:r>
      <w:r w:rsidR="00062E74">
        <w:rPr>
          <w:rFonts w:ascii="Times New Roman" w:hAnsi="Times New Roman"/>
          <w:sz w:val="24"/>
        </w:rPr>
        <w:t>T</w:t>
      </w:r>
      <w:r w:rsidRPr="00F97CB0">
        <w:rPr>
          <w:rFonts w:ascii="Times New Roman" w:hAnsi="Times New Roman"/>
          <w:sz w:val="24"/>
        </w:rPr>
        <w:t>eam Company has remaining funds of EUR 9,888,837.30, so the Council raised the question of the holder of the rights of ownership on the purchased real estate of the Vranjska banja Special Hospital, bearing in mind the provisions of the Law on the Foundations of Property Relations, as well as the question of the holder of the rights of ownership on future buildings, if they are built.</w:t>
      </w:r>
    </w:p>
    <w:p w14:paraId="1F152BFF" w14:textId="60EA67EF" w:rsidR="00997E18" w:rsidRPr="00F97CB0" w:rsidRDefault="00F41C1D" w:rsidP="00F855EE">
      <w:pPr>
        <w:pStyle w:val="NoSpacing"/>
        <w:ind w:firstLine="720"/>
        <w:jc w:val="both"/>
        <w:rPr>
          <w:rFonts w:ascii="Times New Roman" w:hAnsi="Times New Roman" w:cs="Times New Roman"/>
          <w:sz w:val="24"/>
          <w:szCs w:val="24"/>
        </w:rPr>
      </w:pPr>
      <w:r w:rsidRPr="00F97CB0">
        <w:rPr>
          <w:rFonts w:ascii="Times New Roman" w:hAnsi="Times New Roman"/>
          <w:sz w:val="24"/>
        </w:rPr>
        <w:t xml:space="preserve">Taking into account the previously mentioned fact that during 2021, incentive funds from the budget of the Republic of Serbia were paid to the Millennium </w:t>
      </w:r>
      <w:r w:rsidR="00062E74">
        <w:rPr>
          <w:rFonts w:ascii="Times New Roman" w:hAnsi="Times New Roman"/>
          <w:sz w:val="24"/>
        </w:rPr>
        <w:t>T</w:t>
      </w:r>
      <w:r w:rsidRPr="00F97CB0">
        <w:rPr>
          <w:rFonts w:ascii="Times New Roman" w:hAnsi="Times New Roman"/>
          <w:sz w:val="24"/>
        </w:rPr>
        <w:t xml:space="preserve">eam Company in the amount of 10,143,837.30 euros, and that it has remaining funds in the amount of 9,888,837.30 euros, the question arises whether 70% of the capital of the Jaroslav Černi Water Institute, purchased by a member of the Millennium </w:t>
      </w:r>
      <w:r w:rsidR="00062E74">
        <w:rPr>
          <w:rFonts w:ascii="Times New Roman" w:hAnsi="Times New Roman"/>
          <w:sz w:val="24"/>
        </w:rPr>
        <w:t>T</w:t>
      </w:r>
      <w:r w:rsidRPr="00F97CB0">
        <w:rPr>
          <w:rFonts w:ascii="Times New Roman" w:hAnsi="Times New Roman"/>
          <w:sz w:val="24"/>
        </w:rPr>
        <w:t>eam Consortium in the amount of 1,806,000 euros, was purchased with budget funds, and whether in this potential transfer of budget funds there are elements of acts of corruption. The Council is not in charge of determination, but it can warn and express suspicion, and it is up to the competent State authorities to define the factual situation and take the actions provided for by law, where there are reasons for that.</w:t>
      </w:r>
    </w:p>
    <w:p w14:paraId="6640D59F" w14:textId="0865A0F9" w:rsidR="000B2205" w:rsidRPr="00F97CB0" w:rsidRDefault="00997E18" w:rsidP="00F855EE">
      <w:pPr>
        <w:spacing w:after="0" w:line="240" w:lineRule="auto"/>
        <w:ind w:firstLine="720"/>
        <w:jc w:val="both"/>
        <w:rPr>
          <w:rFonts w:ascii="Times New Roman" w:hAnsi="Times New Roman" w:cs="Times New Roman"/>
          <w:sz w:val="24"/>
          <w:szCs w:val="24"/>
        </w:rPr>
      </w:pPr>
      <w:r w:rsidRPr="00F97CB0">
        <w:rPr>
          <w:rFonts w:ascii="Times New Roman" w:hAnsi="Times New Roman"/>
          <w:sz w:val="24"/>
        </w:rPr>
        <w:t xml:space="preserve">In view of all of the above, the Anti-Corruption Council of the Government of the Republic of Serbia is of the opinion that the sale of the Jaroslav Černi Water Institute, joint stock company, as the leading scientific and research organisation in the Republic of Serbia, should be annulled, given the fact that it is arbitrary, unreasonable, illegal and contrary to the general interest, as well </w:t>
      </w:r>
      <w:r w:rsidRPr="00F97CB0">
        <w:rPr>
          <w:rFonts w:ascii="Times New Roman" w:hAnsi="Times New Roman"/>
          <w:sz w:val="24"/>
        </w:rPr>
        <w:lastRenderedPageBreak/>
        <w:t>as that it can lead to unforeseeable harmful consequences for the lives, health and property of the citizens of the Republic of Serbia, bearing in mind the climate changes, floods, flash floods, ice protection, drinking water conservation and environmental protection.</w:t>
      </w:r>
    </w:p>
    <w:p w14:paraId="7F3DC2B6" w14:textId="6229F24B" w:rsidR="000B2205" w:rsidRPr="00F97CB0" w:rsidRDefault="000B2205" w:rsidP="00610346">
      <w:pPr>
        <w:spacing w:after="0" w:line="240" w:lineRule="auto"/>
        <w:jc w:val="both"/>
        <w:rPr>
          <w:rFonts w:ascii="Times New Roman" w:hAnsi="Times New Roman" w:cs="Times New Roman"/>
          <w:sz w:val="24"/>
          <w:szCs w:val="24"/>
        </w:rPr>
      </w:pPr>
    </w:p>
    <w:p w14:paraId="7E4107AD" w14:textId="33CB0542" w:rsidR="00F855EE" w:rsidRPr="00F97CB0" w:rsidRDefault="00F855EE" w:rsidP="00610346">
      <w:pPr>
        <w:spacing w:after="0" w:line="240" w:lineRule="auto"/>
        <w:jc w:val="both"/>
        <w:rPr>
          <w:rFonts w:ascii="Times New Roman" w:hAnsi="Times New Roman" w:cs="Times New Roman"/>
          <w:sz w:val="24"/>
          <w:szCs w:val="24"/>
        </w:rPr>
      </w:pPr>
    </w:p>
    <w:p w14:paraId="3D5EEC6B" w14:textId="717E18C4" w:rsidR="002611B1" w:rsidRPr="00F97CB0" w:rsidRDefault="002611B1" w:rsidP="00610346">
      <w:pPr>
        <w:spacing w:after="0" w:line="240" w:lineRule="auto"/>
        <w:jc w:val="both"/>
        <w:rPr>
          <w:rFonts w:ascii="Times New Roman" w:hAnsi="Times New Roman" w:cs="Times New Roman"/>
          <w:sz w:val="24"/>
          <w:szCs w:val="24"/>
        </w:rPr>
      </w:pPr>
    </w:p>
    <w:p w14:paraId="2BC6226D" w14:textId="7C9EDF67" w:rsidR="008B6D20" w:rsidRPr="00F97CB0" w:rsidRDefault="00F855EE" w:rsidP="00F855EE">
      <w:pPr>
        <w:pStyle w:val="Heading1"/>
        <w:numPr>
          <w:ilvl w:val="0"/>
          <w:numId w:val="13"/>
        </w:numPr>
        <w:rPr>
          <w:rFonts w:ascii="Times New Roman" w:hAnsi="Times New Roman" w:cs="Times New Roman"/>
          <w:b/>
        </w:rPr>
      </w:pPr>
      <w:bookmarkStart w:id="18" w:name="_Toc112590377"/>
      <w:r w:rsidRPr="00F97CB0">
        <w:rPr>
          <w:rFonts w:ascii="Times New Roman" w:hAnsi="Times New Roman"/>
          <w:b/>
        </w:rPr>
        <w:t>RECOMMENDATIONS</w:t>
      </w:r>
      <w:bookmarkEnd w:id="18"/>
    </w:p>
    <w:p w14:paraId="4BBE71FB" w14:textId="77777777" w:rsidR="008B6D20" w:rsidRPr="00F97CB0" w:rsidRDefault="008B6D20" w:rsidP="00610346">
      <w:pPr>
        <w:spacing w:after="0" w:line="240" w:lineRule="auto"/>
        <w:jc w:val="both"/>
        <w:rPr>
          <w:rFonts w:ascii="Times New Roman" w:hAnsi="Times New Roman" w:cs="Times New Roman"/>
          <w:b/>
          <w:bCs/>
          <w:sz w:val="24"/>
          <w:szCs w:val="24"/>
        </w:rPr>
      </w:pPr>
    </w:p>
    <w:p w14:paraId="62CB5AE1" w14:textId="325F28B7" w:rsidR="00003ED8" w:rsidRPr="00F97CB0" w:rsidRDefault="008B6D20" w:rsidP="00610346">
      <w:pPr>
        <w:spacing w:after="0" w:line="240" w:lineRule="auto"/>
        <w:jc w:val="both"/>
        <w:rPr>
          <w:rFonts w:ascii="Times New Roman" w:hAnsi="Times New Roman" w:cs="Times New Roman"/>
          <w:sz w:val="24"/>
          <w:szCs w:val="24"/>
        </w:rPr>
      </w:pPr>
      <w:r w:rsidRPr="00F97CB0">
        <w:rPr>
          <w:rFonts w:ascii="Times New Roman" w:hAnsi="Times New Roman"/>
          <w:sz w:val="24"/>
        </w:rPr>
        <w:t>The Council recommends to the Government of the Republic of Serbia</w:t>
      </w:r>
    </w:p>
    <w:p w14:paraId="425560E6" w14:textId="77777777" w:rsidR="00003ED8" w:rsidRPr="00F97CB0" w:rsidRDefault="00003ED8" w:rsidP="00610346">
      <w:pPr>
        <w:spacing w:after="0" w:line="240" w:lineRule="auto"/>
        <w:jc w:val="both"/>
        <w:rPr>
          <w:rFonts w:ascii="Times New Roman" w:hAnsi="Times New Roman" w:cs="Times New Roman"/>
          <w:sz w:val="24"/>
          <w:szCs w:val="24"/>
        </w:rPr>
      </w:pPr>
    </w:p>
    <w:p w14:paraId="291C22AB" w14:textId="32CBA57D" w:rsidR="00235CB2" w:rsidRPr="00D963FD" w:rsidRDefault="00D963FD" w:rsidP="0046177D">
      <w:pPr>
        <w:pStyle w:val="ListParagraph"/>
        <w:numPr>
          <w:ilvl w:val="0"/>
          <w:numId w:val="21"/>
        </w:numPr>
        <w:spacing w:before="120" w:line="257" w:lineRule="auto"/>
        <w:ind w:left="1208" w:hanging="357"/>
        <w:contextualSpacing w:val="0"/>
        <w:jc w:val="both"/>
        <w:rPr>
          <w:rFonts w:ascii="Times New Roman" w:hAnsi="Times New Roman" w:cs="Times New Roman"/>
          <w:sz w:val="24"/>
          <w:szCs w:val="24"/>
        </w:rPr>
      </w:pPr>
      <w:r>
        <w:rPr>
          <w:rFonts w:ascii="Times New Roman" w:hAnsi="Times New Roman" w:cs="Times New Roman"/>
          <w:sz w:val="24"/>
          <w:szCs w:val="24"/>
        </w:rPr>
        <w:t>t</w:t>
      </w:r>
      <w:r w:rsidR="00235CB2" w:rsidRPr="00D963FD">
        <w:rPr>
          <w:rFonts w:ascii="Times New Roman" w:hAnsi="Times New Roman" w:cs="Times New Roman"/>
          <w:sz w:val="24"/>
          <w:szCs w:val="24"/>
        </w:rPr>
        <w:t>o adopt, in accordance with the provisions of the Law on Privatisation, according to which it supervises the actions of the Ministry with regard to the implementation of the provisions of that law, a decision ordering the Ministry of Economy of the Republic of Serbia to, due to the observed unlawfulness and irregularities in the procedure of the sale of the capital of the of the Jaroslav Černi Water Management, joint stock company, Belgrade as a privatisation</w:t>
      </w:r>
      <w:r w:rsidR="008C6E5B">
        <w:rPr>
          <w:rFonts w:ascii="Times New Roman" w:hAnsi="Times New Roman" w:cs="Times New Roman"/>
          <w:sz w:val="24"/>
          <w:szCs w:val="24"/>
        </w:rPr>
        <w:t xml:space="preserve"> entity</w:t>
      </w:r>
      <w:r w:rsidR="00235CB2" w:rsidRPr="00D963FD">
        <w:rPr>
          <w:rFonts w:ascii="Times New Roman" w:hAnsi="Times New Roman" w:cs="Times New Roman"/>
          <w:sz w:val="24"/>
          <w:szCs w:val="24"/>
        </w:rPr>
        <w:t xml:space="preserve">, review the adoption of Decision No. 023-02-689/2021-05 of 26 November 2021, which in paragraph 1 declares as the </w:t>
      </w:r>
      <w:r>
        <w:rPr>
          <w:rFonts w:ascii="Times New Roman" w:hAnsi="Times New Roman" w:cs="Times New Roman"/>
          <w:sz w:val="24"/>
          <w:szCs w:val="24"/>
        </w:rPr>
        <w:t>buyer</w:t>
      </w:r>
      <w:r w:rsidR="00235CB2" w:rsidRPr="00D963FD">
        <w:rPr>
          <w:rFonts w:ascii="Times New Roman" w:hAnsi="Times New Roman" w:cs="Times New Roman"/>
          <w:sz w:val="24"/>
          <w:szCs w:val="24"/>
        </w:rPr>
        <w:t xml:space="preserve"> the participant of the Consortium, which consists of the legal entity Company for Engineering, Production and Services Millennium Team, Belgrade and natural persons as members of the Consortium, in accordance with the Consortium Agreement concluded on 29 October 2021 and certified before the notary public Nikola Vojinović under No. UOP-I.9949-2021 of 29 October 2021, in the procedure of public collection of bids with subsequent public bidding for the sale of the capital of the privatisation</w:t>
      </w:r>
      <w:r w:rsidR="008C6E5B">
        <w:rPr>
          <w:rFonts w:ascii="Times New Roman" w:hAnsi="Times New Roman" w:cs="Times New Roman"/>
          <w:sz w:val="24"/>
          <w:szCs w:val="24"/>
        </w:rPr>
        <w:t xml:space="preserve"> entity</w:t>
      </w:r>
      <w:r w:rsidR="00235CB2" w:rsidRPr="00D963FD">
        <w:rPr>
          <w:rFonts w:ascii="Times New Roman" w:hAnsi="Times New Roman" w:cs="Times New Roman"/>
          <w:sz w:val="24"/>
          <w:szCs w:val="24"/>
        </w:rPr>
        <w:t xml:space="preserve"> Jaroslav Černi Water Institute, joint stock company, Belgrade, and in paragraph 2 declares that the second highest offer in the procedure of public collection of bids with subsequent public bidding for the sale of the capital of the privatisation</w:t>
      </w:r>
      <w:r w:rsidR="008C6E5B">
        <w:rPr>
          <w:rFonts w:ascii="Times New Roman" w:hAnsi="Times New Roman" w:cs="Times New Roman"/>
          <w:sz w:val="24"/>
          <w:szCs w:val="24"/>
        </w:rPr>
        <w:t xml:space="preserve"> entity</w:t>
      </w:r>
      <w:r w:rsidR="00235CB2" w:rsidRPr="00D963FD">
        <w:rPr>
          <w:rFonts w:ascii="Times New Roman" w:hAnsi="Times New Roman" w:cs="Times New Roman"/>
          <w:sz w:val="24"/>
          <w:szCs w:val="24"/>
        </w:rPr>
        <w:t xml:space="preserve"> Jaroslav Černi Water Institute, joint stock company, Belgrade, was submitted by the participant Limited liability company BAUWESEN, Lazarevac.</w:t>
      </w:r>
    </w:p>
    <w:p w14:paraId="15BA53EB" w14:textId="28B9A6B5" w:rsidR="00235CB2" w:rsidRPr="00D963FD" w:rsidRDefault="00235CB2" w:rsidP="0046177D">
      <w:pPr>
        <w:pStyle w:val="ListParagraph"/>
        <w:numPr>
          <w:ilvl w:val="0"/>
          <w:numId w:val="21"/>
        </w:numPr>
        <w:spacing w:before="120"/>
        <w:ind w:left="1208" w:hanging="357"/>
        <w:contextualSpacing w:val="0"/>
        <w:jc w:val="both"/>
        <w:rPr>
          <w:rFonts w:ascii="Times New Roman" w:hAnsi="Times New Roman" w:cs="Times New Roman"/>
          <w:b/>
          <w:bCs/>
          <w:sz w:val="24"/>
          <w:szCs w:val="24"/>
        </w:rPr>
      </w:pPr>
      <w:r w:rsidRPr="00D963FD">
        <w:rPr>
          <w:rFonts w:ascii="Times New Roman" w:hAnsi="Times New Roman" w:cs="Times New Roman"/>
          <w:sz w:val="24"/>
          <w:szCs w:val="24"/>
        </w:rPr>
        <w:t>to order, in accordance with its powers, the State Attorney’s Office of the Republic of Serbia, as the legal representative of the Republic of Serbia, to initiate the appropriate procedure for annulment of the Decision of the Ministry of Economy of the Republic of Serbia No. 023-02-689/2021-05 of 26 November 2021, that is, to use an extraordinary legal remedy against that Decision, due to the identified irregularities and unlawfulness in the procedure of the sale of the capital of the privatisation</w:t>
      </w:r>
      <w:r w:rsidR="008C6E5B">
        <w:rPr>
          <w:rFonts w:ascii="Times New Roman" w:hAnsi="Times New Roman" w:cs="Times New Roman"/>
          <w:sz w:val="24"/>
          <w:szCs w:val="24"/>
        </w:rPr>
        <w:t xml:space="preserve"> entity</w:t>
      </w:r>
      <w:r w:rsidRPr="00D963FD">
        <w:rPr>
          <w:rFonts w:ascii="Times New Roman" w:hAnsi="Times New Roman" w:cs="Times New Roman"/>
          <w:sz w:val="24"/>
          <w:szCs w:val="24"/>
        </w:rPr>
        <w:t xml:space="preserve"> Jaroslav Černi Water Institute, joint stock company, Belgrade.</w:t>
      </w:r>
    </w:p>
    <w:p w14:paraId="22C13091" w14:textId="367611CA" w:rsidR="00235CB2" w:rsidRPr="00D963FD" w:rsidRDefault="00235CB2" w:rsidP="0046177D">
      <w:pPr>
        <w:pStyle w:val="ListParagraph"/>
        <w:numPr>
          <w:ilvl w:val="0"/>
          <w:numId w:val="21"/>
        </w:numPr>
        <w:spacing w:before="120"/>
        <w:ind w:left="1208" w:hanging="357"/>
        <w:contextualSpacing w:val="0"/>
        <w:jc w:val="both"/>
        <w:rPr>
          <w:rFonts w:ascii="Times New Roman" w:hAnsi="Times New Roman" w:cs="Times New Roman"/>
          <w:sz w:val="24"/>
          <w:szCs w:val="24"/>
        </w:rPr>
      </w:pPr>
      <w:r w:rsidRPr="00D963FD">
        <w:rPr>
          <w:rFonts w:ascii="Times New Roman" w:hAnsi="Times New Roman" w:cs="Times New Roman"/>
          <w:sz w:val="24"/>
          <w:szCs w:val="24"/>
        </w:rPr>
        <w:t xml:space="preserve">to order, in accordance with its powers, the State Attorney’s Office of the Republic of Serbia, as the legal representative of the Republic of Serbia, to institute proceedings before the competent court in order to decide on the nullity of the Consortium Agreement concluded between the Millennium </w:t>
      </w:r>
      <w:r w:rsidR="00062E74">
        <w:rPr>
          <w:rFonts w:ascii="Times New Roman" w:hAnsi="Times New Roman" w:cs="Times New Roman"/>
          <w:sz w:val="24"/>
          <w:szCs w:val="24"/>
        </w:rPr>
        <w:t>T</w:t>
      </w:r>
      <w:r w:rsidRPr="00D963FD">
        <w:rPr>
          <w:rFonts w:ascii="Times New Roman" w:hAnsi="Times New Roman" w:cs="Times New Roman"/>
          <w:sz w:val="24"/>
          <w:szCs w:val="24"/>
        </w:rPr>
        <w:t xml:space="preserve">eam Company from Belgrade and natural persons as members of the Consortium, which was concluded on 29 October 2021 </w:t>
      </w:r>
      <w:r w:rsidRPr="00D963FD">
        <w:rPr>
          <w:rFonts w:ascii="Times New Roman" w:hAnsi="Times New Roman" w:cs="Times New Roman"/>
          <w:sz w:val="24"/>
          <w:szCs w:val="24"/>
        </w:rPr>
        <w:lastRenderedPageBreak/>
        <w:t>and certified before the notary public Nikola Vojinović under No. UOP-I.9949-2021 of 29 October 2021, due to the identified unlawfulness.</w:t>
      </w:r>
    </w:p>
    <w:p w14:paraId="51D8785C" w14:textId="533B8555" w:rsidR="00235CB2" w:rsidRPr="00D963FD" w:rsidRDefault="00235CB2" w:rsidP="0046177D">
      <w:pPr>
        <w:pStyle w:val="ListParagraph"/>
        <w:numPr>
          <w:ilvl w:val="0"/>
          <w:numId w:val="21"/>
        </w:numPr>
        <w:spacing w:before="120" w:line="256" w:lineRule="auto"/>
        <w:ind w:left="1208" w:hanging="357"/>
        <w:contextualSpacing w:val="0"/>
        <w:jc w:val="both"/>
        <w:rPr>
          <w:rFonts w:ascii="Times New Roman" w:hAnsi="Times New Roman" w:cs="Times New Roman"/>
          <w:sz w:val="24"/>
          <w:szCs w:val="24"/>
        </w:rPr>
      </w:pPr>
      <w:r w:rsidRPr="00D963FD">
        <w:rPr>
          <w:rFonts w:ascii="Times New Roman" w:hAnsi="Times New Roman" w:cs="Times New Roman"/>
          <w:sz w:val="24"/>
          <w:szCs w:val="24"/>
        </w:rPr>
        <w:t>to instruct the competent institutions to determine whether in the procedure of the sale of the capital of the privatisation</w:t>
      </w:r>
      <w:r w:rsidR="008C6E5B">
        <w:rPr>
          <w:rFonts w:ascii="Times New Roman" w:hAnsi="Times New Roman" w:cs="Times New Roman"/>
          <w:sz w:val="24"/>
          <w:szCs w:val="24"/>
        </w:rPr>
        <w:t xml:space="preserve"> entity</w:t>
      </w:r>
      <w:r w:rsidRPr="00D963FD">
        <w:rPr>
          <w:rFonts w:ascii="Times New Roman" w:hAnsi="Times New Roman" w:cs="Times New Roman"/>
          <w:sz w:val="24"/>
          <w:szCs w:val="24"/>
        </w:rPr>
        <w:t xml:space="preserve"> Jaroslav Černi Water Institute, joint stock company, Belgrade, there are elements of acts of corruption and abuse of offic</w:t>
      </w:r>
      <w:r w:rsidR="00062E74">
        <w:rPr>
          <w:rFonts w:ascii="Times New Roman" w:hAnsi="Times New Roman" w:cs="Times New Roman"/>
          <w:sz w:val="24"/>
          <w:szCs w:val="24"/>
        </w:rPr>
        <w:t>e</w:t>
      </w:r>
      <w:r w:rsidRPr="00D963FD">
        <w:rPr>
          <w:rFonts w:ascii="Times New Roman" w:hAnsi="Times New Roman" w:cs="Times New Roman"/>
          <w:sz w:val="24"/>
          <w:szCs w:val="24"/>
        </w:rPr>
        <w:t>, and to take appropriate measures and statutory actions accordingly.</w:t>
      </w:r>
    </w:p>
    <w:p w14:paraId="02F7715A" w14:textId="04B987F5" w:rsidR="00235CB2" w:rsidRPr="00D963FD" w:rsidRDefault="00235CB2" w:rsidP="0046177D">
      <w:pPr>
        <w:pStyle w:val="ListParagraph"/>
        <w:numPr>
          <w:ilvl w:val="0"/>
          <w:numId w:val="21"/>
        </w:numPr>
        <w:spacing w:before="120"/>
        <w:ind w:left="1208" w:hanging="357"/>
        <w:contextualSpacing w:val="0"/>
        <w:jc w:val="both"/>
        <w:rPr>
          <w:rFonts w:ascii="Times New Roman" w:hAnsi="Times New Roman" w:cs="Times New Roman"/>
          <w:sz w:val="24"/>
          <w:szCs w:val="24"/>
        </w:rPr>
      </w:pPr>
      <w:r w:rsidRPr="00D963FD">
        <w:rPr>
          <w:rFonts w:ascii="Times New Roman" w:hAnsi="Times New Roman" w:cs="Times New Roman"/>
          <w:sz w:val="24"/>
          <w:szCs w:val="24"/>
        </w:rPr>
        <w:t>that the Anti-corruption Agency shall of its own motion, in accordance with Article 43(1) of the Law on the Prevention of Corruption</w:t>
      </w:r>
      <w:r w:rsidR="00062E74">
        <w:rPr>
          <w:rFonts w:ascii="Times New Roman" w:hAnsi="Times New Roman" w:cs="Times New Roman"/>
          <w:sz w:val="24"/>
          <w:szCs w:val="24"/>
        </w:rPr>
        <w:t>,</w:t>
      </w:r>
      <w:r w:rsidRPr="00D963FD">
        <w:rPr>
          <w:rFonts w:ascii="Times New Roman" w:hAnsi="Times New Roman" w:cs="Times New Roman"/>
          <w:sz w:val="24"/>
          <w:szCs w:val="24"/>
        </w:rPr>
        <w:t xml:space="preserve"> initiate a procedure against the following persons: Dejan Divac, Mile Božić, Nikola Milivojević, Dejan Vučković, Goran Nikolić, Miodrag Popović and Dušan Ćirić, in which it will decide on the existence of a conflict of interest in the actions of the mentioned public officials, which caused suspicion of the existence conflict of interest.</w:t>
      </w:r>
    </w:p>
    <w:p w14:paraId="29E141D9" w14:textId="520D5B95" w:rsidR="00235CB2" w:rsidRPr="00D963FD" w:rsidRDefault="00235CB2" w:rsidP="0046177D">
      <w:pPr>
        <w:pStyle w:val="ListParagraph"/>
        <w:numPr>
          <w:ilvl w:val="0"/>
          <w:numId w:val="21"/>
        </w:numPr>
        <w:spacing w:before="120"/>
        <w:ind w:left="1208" w:hanging="357"/>
        <w:contextualSpacing w:val="0"/>
        <w:jc w:val="both"/>
        <w:rPr>
          <w:rFonts w:ascii="Times New Roman" w:hAnsi="Times New Roman" w:cs="Times New Roman"/>
          <w:sz w:val="24"/>
          <w:szCs w:val="24"/>
        </w:rPr>
      </w:pPr>
      <w:r w:rsidRPr="00D963FD">
        <w:rPr>
          <w:rFonts w:ascii="Times New Roman" w:hAnsi="Times New Roman" w:cs="Times New Roman"/>
          <w:sz w:val="24"/>
          <w:szCs w:val="24"/>
        </w:rPr>
        <w:t>to instruct the competent prosecutor’s office to determine whether in the procedure of privatisation of the Jaroslav Černi Water Institute, joint stock company, Belgrade, in accordance with Article 228a of the Criminal Code, there are elements of the criminal offence of abuse in the privatisation proc</w:t>
      </w:r>
      <w:r w:rsidR="00062E74">
        <w:rPr>
          <w:rFonts w:ascii="Times New Roman" w:hAnsi="Times New Roman" w:cs="Times New Roman"/>
          <w:sz w:val="24"/>
          <w:szCs w:val="24"/>
        </w:rPr>
        <w:t>e</w:t>
      </w:r>
      <w:r w:rsidRPr="00D963FD">
        <w:rPr>
          <w:rFonts w:ascii="Times New Roman" w:hAnsi="Times New Roman" w:cs="Times New Roman"/>
          <w:sz w:val="24"/>
          <w:szCs w:val="24"/>
        </w:rPr>
        <w:t>dure, in the actions between responsible persons in front of the seller of state-owned capital,</w:t>
      </w:r>
      <w:r w:rsidR="00062E74">
        <w:rPr>
          <w:rFonts w:ascii="Times New Roman" w:hAnsi="Times New Roman" w:cs="Times New Roman"/>
          <w:sz w:val="24"/>
          <w:szCs w:val="24"/>
        </w:rPr>
        <w:t xml:space="preserve"> and</w:t>
      </w:r>
      <w:r w:rsidRPr="00D963FD">
        <w:rPr>
          <w:rFonts w:ascii="Times New Roman" w:hAnsi="Times New Roman" w:cs="Times New Roman"/>
          <w:sz w:val="24"/>
          <w:szCs w:val="24"/>
        </w:rPr>
        <w:t xml:space="preserve"> responsible persons in the privatisation</w:t>
      </w:r>
      <w:r w:rsidR="008C6E5B">
        <w:rPr>
          <w:rFonts w:ascii="Times New Roman" w:hAnsi="Times New Roman" w:cs="Times New Roman"/>
          <w:sz w:val="24"/>
          <w:szCs w:val="24"/>
        </w:rPr>
        <w:t xml:space="preserve"> entity</w:t>
      </w:r>
      <w:r w:rsidRPr="00D963FD">
        <w:rPr>
          <w:rFonts w:ascii="Times New Roman" w:hAnsi="Times New Roman" w:cs="Times New Roman"/>
          <w:sz w:val="24"/>
          <w:szCs w:val="24"/>
        </w:rPr>
        <w:t xml:space="preserve"> with the buyer of the privatisation</w:t>
      </w:r>
      <w:r w:rsidR="008C6E5B">
        <w:rPr>
          <w:rFonts w:ascii="Times New Roman" w:hAnsi="Times New Roman" w:cs="Times New Roman"/>
          <w:sz w:val="24"/>
          <w:szCs w:val="24"/>
        </w:rPr>
        <w:t xml:space="preserve"> entity</w:t>
      </w:r>
      <w:r w:rsidRPr="00D963FD">
        <w:rPr>
          <w:rFonts w:ascii="Times New Roman" w:hAnsi="Times New Roman" w:cs="Times New Roman"/>
          <w:sz w:val="24"/>
          <w:szCs w:val="24"/>
        </w:rPr>
        <w:t>, and to initiate appropriate proceedings accordingly.</w:t>
      </w:r>
    </w:p>
    <w:p w14:paraId="3A68981A" w14:textId="30E590E1" w:rsidR="00F855EE" w:rsidRPr="00D963FD" w:rsidRDefault="00F855EE" w:rsidP="00235CB2">
      <w:pPr>
        <w:ind w:firstLine="5760"/>
        <w:jc w:val="both"/>
        <w:rPr>
          <w:rFonts w:ascii="Times New Roman" w:hAnsi="Times New Roman" w:cs="Times New Roman"/>
          <w:sz w:val="24"/>
          <w:szCs w:val="24"/>
        </w:rPr>
      </w:pPr>
    </w:p>
    <w:p w14:paraId="0A8ED86E" w14:textId="77777777" w:rsidR="00235CB2" w:rsidRPr="00D963FD" w:rsidRDefault="00235CB2" w:rsidP="00235CB2">
      <w:pPr>
        <w:rPr>
          <w:rFonts w:ascii="Times New Roman" w:hAnsi="Times New Roman" w:cs="Times New Roman"/>
          <w:sz w:val="24"/>
          <w:szCs w:val="24"/>
        </w:rPr>
      </w:pPr>
    </w:p>
    <w:p w14:paraId="23763AEF" w14:textId="7DD7D3A2" w:rsidR="000359DB" w:rsidRPr="00D963FD" w:rsidRDefault="002A0E10" w:rsidP="00B16C20">
      <w:pPr>
        <w:spacing w:after="0"/>
        <w:jc w:val="right"/>
        <w:rPr>
          <w:rFonts w:ascii="Times New Roman" w:hAnsi="Times New Roman" w:cs="Times New Roman"/>
          <w:sz w:val="24"/>
          <w:szCs w:val="24"/>
        </w:rPr>
      </w:pPr>
      <w:r w:rsidRPr="00D963FD">
        <w:rPr>
          <w:rFonts w:ascii="Times New Roman" w:hAnsi="Times New Roman" w:cs="Times New Roman"/>
          <w:sz w:val="24"/>
          <w:szCs w:val="24"/>
        </w:rPr>
        <w:t>VICE-PRESIDENT OF THE COUNCIL</w:t>
      </w:r>
    </w:p>
    <w:p w14:paraId="6D7AB2B1" w14:textId="6B9CED53" w:rsidR="00235CB2" w:rsidRPr="00D963FD" w:rsidRDefault="002A0E10" w:rsidP="00B16C20">
      <w:pPr>
        <w:spacing w:after="0"/>
        <w:jc w:val="right"/>
        <w:rPr>
          <w:rFonts w:ascii="Times New Roman" w:hAnsi="Times New Roman" w:cs="Times New Roman"/>
          <w:sz w:val="24"/>
          <w:szCs w:val="24"/>
        </w:rPr>
      </w:pPr>
      <w:r w:rsidRPr="00D963FD">
        <w:rPr>
          <w:rFonts w:ascii="Times New Roman" w:hAnsi="Times New Roman" w:cs="Times New Roman"/>
          <w:sz w:val="24"/>
          <w:szCs w:val="24"/>
        </w:rPr>
        <w:t>Prof. Miroslav Milićević</w:t>
      </w:r>
      <w:r w:rsidR="00A72962" w:rsidRPr="00A72962">
        <w:rPr>
          <w:rFonts w:ascii="Times New Roman" w:hAnsi="Times New Roman" w:cs="Times New Roman"/>
          <w:sz w:val="24"/>
          <w:szCs w:val="24"/>
        </w:rPr>
        <w:t xml:space="preserve"> </w:t>
      </w:r>
      <w:r w:rsidR="00A72962">
        <w:rPr>
          <w:rFonts w:ascii="Times New Roman" w:hAnsi="Times New Roman" w:cs="Times New Roman"/>
          <w:sz w:val="24"/>
          <w:szCs w:val="24"/>
        </w:rPr>
        <w:t xml:space="preserve">MD, </w:t>
      </w:r>
      <w:r w:rsidR="00A72962" w:rsidRPr="00D963FD">
        <w:rPr>
          <w:rFonts w:ascii="Times New Roman" w:hAnsi="Times New Roman" w:cs="Times New Roman"/>
          <w:sz w:val="24"/>
          <w:szCs w:val="24"/>
        </w:rPr>
        <w:t>PhD</w:t>
      </w:r>
      <w:r w:rsidR="00A72962">
        <w:rPr>
          <w:rFonts w:ascii="Times New Roman" w:hAnsi="Times New Roman" w:cs="Times New Roman"/>
          <w:sz w:val="24"/>
          <w:szCs w:val="24"/>
        </w:rPr>
        <w:t>, FACS</w:t>
      </w:r>
    </w:p>
    <w:sectPr w:rsidR="00235CB2" w:rsidRPr="00D963FD" w:rsidSect="0061034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86D98" w14:textId="77777777" w:rsidR="00364DE1" w:rsidRDefault="00364DE1" w:rsidP="00606553">
      <w:pPr>
        <w:spacing w:after="0" w:line="240" w:lineRule="auto"/>
      </w:pPr>
      <w:r>
        <w:separator/>
      </w:r>
    </w:p>
  </w:endnote>
  <w:endnote w:type="continuationSeparator" w:id="0">
    <w:p w14:paraId="34448DEA" w14:textId="77777777" w:rsidR="00364DE1" w:rsidRDefault="00364DE1" w:rsidP="006065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310646"/>
      <w:docPartObj>
        <w:docPartGallery w:val="Page Numbers (Bottom of Page)"/>
        <w:docPartUnique/>
      </w:docPartObj>
    </w:sdtPr>
    <w:sdtEndPr>
      <w:rPr>
        <w:noProof/>
      </w:rPr>
    </w:sdtEndPr>
    <w:sdtContent>
      <w:p w14:paraId="60D5C474" w14:textId="5B3B621C" w:rsidR="00B004F0" w:rsidRDefault="00B004F0">
        <w:pPr>
          <w:pStyle w:val="Footer"/>
          <w:jc w:val="center"/>
        </w:pPr>
        <w:r>
          <w:fldChar w:fldCharType="begin"/>
        </w:r>
        <w:r>
          <w:instrText xml:space="preserve"> PAGE   \* MERGEFORMAT </w:instrText>
        </w:r>
        <w:r>
          <w:fldChar w:fldCharType="separate"/>
        </w:r>
        <w:r w:rsidR="00B95D5B">
          <w:rPr>
            <w:noProof/>
          </w:rPr>
          <w:t>1</w:t>
        </w:r>
        <w:r>
          <w:fldChar w:fldCharType="end"/>
        </w:r>
      </w:p>
    </w:sdtContent>
  </w:sdt>
  <w:p w14:paraId="3A3ED179" w14:textId="77777777" w:rsidR="00B004F0" w:rsidRDefault="00B004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021AE" w14:textId="77777777" w:rsidR="00364DE1" w:rsidRDefault="00364DE1" w:rsidP="00606553">
      <w:pPr>
        <w:spacing w:after="0" w:line="240" w:lineRule="auto"/>
      </w:pPr>
      <w:r>
        <w:separator/>
      </w:r>
    </w:p>
  </w:footnote>
  <w:footnote w:type="continuationSeparator" w:id="0">
    <w:p w14:paraId="38DC1D4D" w14:textId="77777777" w:rsidR="00364DE1" w:rsidRDefault="00364DE1" w:rsidP="00606553">
      <w:pPr>
        <w:spacing w:after="0" w:line="240" w:lineRule="auto"/>
      </w:pPr>
      <w:r>
        <w:continuationSeparator/>
      </w:r>
    </w:p>
  </w:footnote>
  <w:footnote w:id="1">
    <w:p w14:paraId="4EF7FABF" w14:textId="0D8F1F29"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Prof. PhD Branislav Đorđević, “Cybernetics in Water Resources Management”, in </w:t>
      </w:r>
      <w:r w:rsidRPr="000B516B">
        <w:rPr>
          <w:rFonts w:ascii="Times New Roman" w:hAnsi="Times New Roman" w:cs="Times New Roman"/>
          <w:i/>
        </w:rPr>
        <w:t>Water Resources</w:t>
      </w:r>
      <w:r w:rsidRPr="000B516B">
        <w:rPr>
          <w:rFonts w:ascii="Times New Roman" w:hAnsi="Times New Roman" w:cs="Times New Roman"/>
        </w:rPr>
        <w:t>, chp. XXII, p. 620, Wrp, CO, USA, ISBN:0-918334-82-9.</w:t>
      </w:r>
    </w:p>
  </w:footnote>
  <w:footnote w:id="2">
    <w:p w14:paraId="41B6448B" w14:textId="1FE82F89" w:rsidR="00B004F0" w:rsidRPr="000B516B" w:rsidRDefault="00B004F0" w:rsidP="00610346">
      <w:pPr>
        <w:pStyle w:val="FootnoteText"/>
        <w:rPr>
          <w:rFonts w:ascii="Times New Roman" w:hAnsi="Times New Roman" w:cs="Times New Roman"/>
        </w:rPr>
      </w:pPr>
      <w:r w:rsidRPr="000B516B">
        <w:rPr>
          <w:rStyle w:val="FootnoteReference"/>
          <w:rFonts w:ascii="Times New Roman" w:hAnsi="Times New Roman" w:cs="Times New Roman"/>
        </w:rPr>
        <w:footnoteRef/>
      </w:r>
      <w:r w:rsidR="006D702F">
        <w:rPr>
          <w:rFonts w:ascii="Times New Roman" w:hAnsi="Times New Roman" w:cs="Times New Roman"/>
        </w:rPr>
        <w:t xml:space="preserve"> </w:t>
      </w:r>
      <w:r w:rsidRPr="000B516B">
        <w:rPr>
          <w:rFonts w:ascii="Times New Roman" w:hAnsi="Times New Roman" w:cs="Times New Roman"/>
        </w:rPr>
        <w:t>Prof. PhD Živko Vladisavljević, “On Water Management – views and methods”, Faculty of Civil Engineering, Belgrade 1969.</w:t>
      </w:r>
    </w:p>
  </w:footnote>
  <w:footnote w:id="3">
    <w:p w14:paraId="2AB35514" w14:textId="6E019785"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006D702F">
        <w:rPr>
          <w:rFonts w:ascii="Times New Roman" w:hAnsi="Times New Roman" w:cs="Times New Roman"/>
        </w:rPr>
        <w:t xml:space="preserve"> </w:t>
      </w:r>
      <w:r w:rsidRPr="000B516B">
        <w:rPr>
          <w:rFonts w:ascii="Times New Roman" w:hAnsi="Times New Roman" w:cs="Times New Roman"/>
        </w:rPr>
        <w:t>Directive of the European Parliament and of the Council 2000/60/EC.</w:t>
      </w:r>
    </w:p>
  </w:footnote>
  <w:footnote w:id="4">
    <w:p w14:paraId="12C1BECA" w14:textId="5F785425"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The Decree on determining the water management basis of the Republic of Serbia (Official Gazette of the Republic of Serbia, No. 11/2002)</w:t>
      </w:r>
      <w:r w:rsidR="007227CC">
        <w:rPr>
          <w:rFonts w:ascii="Times New Roman" w:hAnsi="Times New Roman" w:cs="Times New Roman"/>
        </w:rPr>
        <w:t>.</w:t>
      </w:r>
    </w:p>
  </w:footnote>
  <w:footnote w:id="5">
    <w:p w14:paraId="2FE49C7A" w14:textId="65094B01"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Prof. PhD Branislav Đorđević, “Tendencies in strategic planning”, Water Management, vol. 34, No. 1</w:t>
      </w:r>
      <w:r w:rsidR="007227CC">
        <w:rPr>
          <w:rFonts w:ascii="Times New Roman" w:hAnsi="Times New Roman" w:cs="Times New Roman"/>
        </w:rPr>
        <w:t>–</w:t>
      </w:r>
      <w:r w:rsidRPr="000B516B">
        <w:rPr>
          <w:rFonts w:ascii="Times New Roman" w:hAnsi="Times New Roman" w:cs="Times New Roman"/>
        </w:rPr>
        <w:t>6, pp. 3</w:t>
      </w:r>
      <w:r w:rsidR="007227CC">
        <w:rPr>
          <w:rFonts w:ascii="Times New Roman" w:hAnsi="Times New Roman" w:cs="Times New Roman"/>
        </w:rPr>
        <w:t>–</w:t>
      </w:r>
      <w:r w:rsidRPr="000B516B">
        <w:rPr>
          <w:rFonts w:ascii="Times New Roman" w:hAnsi="Times New Roman" w:cs="Times New Roman"/>
        </w:rPr>
        <w:t>12, SDOH, UDC: 626/627:33/351.82, 2002, Belgrade.</w:t>
      </w:r>
    </w:p>
  </w:footnote>
  <w:footnote w:id="6">
    <w:p w14:paraId="52DE493F" w14:textId="0494E741"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The Law on Waters (Official Gazette of the Republic of Serbia, No. 30/10, 93/12,101/16, 95/18)</w:t>
      </w:r>
      <w:r w:rsidR="007227CC">
        <w:rPr>
          <w:rFonts w:ascii="Times New Roman" w:hAnsi="Times New Roman" w:cs="Times New Roman"/>
        </w:rPr>
        <w:t>.</w:t>
      </w:r>
    </w:p>
  </w:footnote>
  <w:footnote w:id="7">
    <w:p w14:paraId="6FA547A6" w14:textId="308F4D4A" w:rsidR="00B004F0" w:rsidRPr="000B516B" w:rsidRDefault="00B004F0" w:rsidP="0076168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Water Management Strategy of the territory of the Republic of Serbia until 2034 (Official Gazette of the Republic of Serbia, No. 30/2017)</w:t>
      </w:r>
      <w:r w:rsidR="007227CC">
        <w:rPr>
          <w:rFonts w:ascii="Times New Roman" w:hAnsi="Times New Roman" w:cs="Times New Roman"/>
        </w:rPr>
        <w:t>.</w:t>
      </w:r>
    </w:p>
  </w:footnote>
  <w:footnote w:id="8">
    <w:p w14:paraId="1E46BCD6" w14:textId="2BEBEDC1"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Articles 97(1)(9) and 74 of the Constitution of the Republic of Serbia.</w:t>
      </w:r>
    </w:p>
  </w:footnote>
  <w:footnote w:id="9">
    <w:p w14:paraId="588DA5A5" w14:textId="42282F7B" w:rsidR="00B004F0" w:rsidRPr="000B516B" w:rsidRDefault="00B004F0" w:rsidP="0076168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The Law on Waters (Official Gazette of the Republic of Serbia, No. 30/2010)</w:t>
      </w:r>
      <w:r w:rsidR="006A76C0">
        <w:rPr>
          <w:rFonts w:ascii="Times New Roman" w:hAnsi="Times New Roman" w:cs="Times New Roman"/>
        </w:rPr>
        <w:t>.</w:t>
      </w:r>
    </w:p>
  </w:footnote>
  <w:footnote w:id="10">
    <w:p w14:paraId="66CA6DB8" w14:textId="17AF7BAC"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The Law on Waters (Official Gazette of the Republic of Serbia, No. 30/2016)</w:t>
      </w:r>
      <w:r w:rsidR="006A76C0">
        <w:rPr>
          <w:rFonts w:ascii="Times New Roman" w:hAnsi="Times New Roman" w:cs="Times New Roman"/>
        </w:rPr>
        <w:t>.</w:t>
      </w:r>
    </w:p>
  </w:footnote>
  <w:footnote w:id="11">
    <w:p w14:paraId="144EE009" w14:textId="1AB24BCA"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The Law on Public Property (Official Gazette of the Republic of Serbia, No. 72/11, 88/13, 105/14, 104/16, 108/16, 113/17,95/18, 153/20)</w:t>
      </w:r>
      <w:r w:rsidR="006A76C0">
        <w:rPr>
          <w:rFonts w:ascii="Times New Roman" w:hAnsi="Times New Roman" w:cs="Times New Roman"/>
        </w:rPr>
        <w:t>.</w:t>
      </w:r>
    </w:p>
  </w:footnote>
  <w:footnote w:id="12">
    <w:p w14:paraId="5ADEBDDD" w14:textId="1F369E46" w:rsidR="00FD54F2" w:rsidRPr="00FD54F2" w:rsidRDefault="00FD54F2">
      <w:pPr>
        <w:pStyle w:val="FootnoteText"/>
        <w:rPr>
          <w:lang w:val="en-US"/>
        </w:rPr>
      </w:pPr>
      <w:r>
        <w:rPr>
          <w:rStyle w:val="FootnoteReference"/>
        </w:rPr>
        <w:footnoteRef/>
      </w:r>
      <w:r>
        <w:t xml:space="preserve"> </w:t>
      </w:r>
      <w:r>
        <w:rPr>
          <w:rFonts w:ascii="Times New Roman" w:hAnsi="Times New Roman" w:cs="Times New Roman"/>
        </w:rPr>
        <w:t>Decision of the Ministry of Economy</w:t>
      </w:r>
      <w:r w:rsidRPr="00053855">
        <w:rPr>
          <w:rFonts w:ascii="Times New Roman" w:hAnsi="Times New Roman" w:cs="Times New Roman"/>
        </w:rPr>
        <w:t xml:space="preserve"> </w:t>
      </w:r>
      <w:r>
        <w:rPr>
          <w:rFonts w:ascii="Times New Roman" w:hAnsi="Times New Roman" w:cs="Times New Roman"/>
        </w:rPr>
        <w:t>No</w:t>
      </w:r>
      <w:r w:rsidRPr="00053855">
        <w:rPr>
          <w:rFonts w:ascii="Times New Roman" w:hAnsi="Times New Roman" w:cs="Times New Roman"/>
        </w:rPr>
        <w:t>.</w:t>
      </w:r>
      <w:r w:rsidRPr="00053855">
        <w:rPr>
          <w:rFonts w:ascii="Times New Roman" w:hAnsi="Times New Roman" w:cs="Times New Roman"/>
          <w:lang w:val="en-US"/>
        </w:rPr>
        <w:t xml:space="preserve"> </w:t>
      </w:r>
      <w:r w:rsidRPr="00053855">
        <w:rPr>
          <w:rFonts w:ascii="Times New Roman" w:hAnsi="Times New Roman" w:cs="Times New Roman"/>
        </w:rPr>
        <w:t xml:space="preserve">3-00-72/2021-02 </w:t>
      </w:r>
      <w:r>
        <w:rPr>
          <w:rFonts w:ascii="Times New Roman" w:hAnsi="Times New Roman" w:cs="Times New Roman"/>
        </w:rPr>
        <w:t>of</w:t>
      </w:r>
      <w:r w:rsidRPr="00053855">
        <w:rPr>
          <w:rFonts w:ascii="Times New Roman" w:hAnsi="Times New Roman" w:cs="Times New Roman"/>
        </w:rPr>
        <w:t xml:space="preserve"> 8</w:t>
      </w:r>
      <w:r>
        <w:rPr>
          <w:rFonts w:ascii="Times New Roman" w:hAnsi="Times New Roman" w:cs="Times New Roman"/>
        </w:rPr>
        <w:t xml:space="preserve"> December </w:t>
      </w:r>
      <w:r w:rsidRPr="00053855">
        <w:rPr>
          <w:rFonts w:ascii="Times New Roman" w:hAnsi="Times New Roman" w:cs="Times New Roman"/>
        </w:rPr>
        <w:t>2021.</w:t>
      </w:r>
    </w:p>
  </w:footnote>
  <w:footnote w:id="13">
    <w:p w14:paraId="74400907" w14:textId="766D0084"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Letter of the State Audit Institution No. 037-1828/2021-08/1 of 24</w:t>
      </w:r>
      <w:r w:rsidR="005F6449">
        <w:rPr>
          <w:rFonts w:ascii="Times New Roman" w:hAnsi="Times New Roman" w:cs="Times New Roman"/>
        </w:rPr>
        <w:t xml:space="preserve"> Novemeber </w:t>
      </w:r>
      <w:r w:rsidRPr="000B516B">
        <w:rPr>
          <w:rFonts w:ascii="Times New Roman" w:hAnsi="Times New Roman" w:cs="Times New Roman"/>
        </w:rPr>
        <w:t>2021.</w:t>
      </w:r>
    </w:p>
  </w:footnote>
  <w:footnote w:id="14">
    <w:p w14:paraId="2AA4E153" w14:textId="4EB9AF6E"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State Audit Institution, Report on the auditing of financial statements and regularity of operations of the Joint-stock company Jaroslav Černi Water Institute, Belgrade for the year 2015, No. 400-1027/2016-06/8 of 29 December 2016</w:t>
      </w:r>
      <w:r w:rsidR="005F6449">
        <w:rPr>
          <w:rFonts w:ascii="Times New Roman" w:hAnsi="Times New Roman" w:cs="Times New Roman"/>
        </w:rPr>
        <w:t>.</w:t>
      </w:r>
    </w:p>
  </w:footnote>
  <w:footnote w:id="15">
    <w:p w14:paraId="6C0296A3" w14:textId="4AA5DF04" w:rsidR="00B004F0" w:rsidRPr="000B516B" w:rsidRDefault="00B004F0" w:rsidP="0014352E">
      <w:pPr>
        <w:pStyle w:val="NoSpacing"/>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Public invitation to collect letters of interest in participating in the privatisation procedure of the privatisation</w:t>
      </w:r>
      <w:r w:rsidR="007D59AA">
        <w:rPr>
          <w:rFonts w:ascii="Times New Roman" w:hAnsi="Times New Roman" w:cs="Times New Roman"/>
          <w:sz w:val="20"/>
          <w:szCs w:val="20"/>
        </w:rPr>
        <w:t xml:space="preserve"> </w:t>
      </w:r>
      <w:r w:rsidR="007D59AA" w:rsidRPr="007D59AA">
        <w:rPr>
          <w:rFonts w:ascii="Times New Roman" w:hAnsi="Times New Roman" w:cs="Times New Roman"/>
          <w:sz w:val="20"/>
          <w:szCs w:val="20"/>
        </w:rPr>
        <w:t>entity</w:t>
      </w:r>
      <w:r w:rsidRPr="000B516B">
        <w:rPr>
          <w:rFonts w:ascii="Times New Roman" w:hAnsi="Times New Roman" w:cs="Times New Roman"/>
          <w:sz w:val="20"/>
          <w:szCs w:val="20"/>
        </w:rPr>
        <w:t xml:space="preserve"> Jaroslav Černi Water Institute, joint stock company, Belgrade of 21 May 2021.</w:t>
      </w:r>
    </w:p>
  </w:footnote>
  <w:footnote w:id="16">
    <w:p w14:paraId="2BB74347" w14:textId="6A67F62A" w:rsidR="00B004F0" w:rsidRPr="000B516B" w:rsidRDefault="00B004F0" w:rsidP="0014352E">
      <w:pPr>
        <w:pStyle w:val="NoSpacing"/>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Letter of the Ministry of Economy No.113 -00--0/2021-05 of 8 December 2021.</w:t>
      </w:r>
    </w:p>
  </w:footnote>
  <w:footnote w:id="17">
    <w:p w14:paraId="4119BB33" w14:textId="0F055C6F" w:rsidR="00B004F0" w:rsidRPr="000B516B" w:rsidRDefault="00B004F0" w:rsidP="00F27575">
      <w:pPr>
        <w:pStyle w:val="NoSpacing"/>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Public invitation of the Ministry of Economy for participation in the procedure of public collection of bids with subsequent public bidding for the sale of the capital of the privatisation</w:t>
      </w:r>
      <w:r w:rsidR="007D59AA">
        <w:rPr>
          <w:rFonts w:ascii="Times New Roman" w:hAnsi="Times New Roman" w:cs="Times New Roman"/>
          <w:sz w:val="20"/>
          <w:szCs w:val="20"/>
        </w:rPr>
        <w:t xml:space="preserve"> </w:t>
      </w:r>
      <w:r w:rsidR="007D59AA" w:rsidRPr="007D59AA">
        <w:rPr>
          <w:rFonts w:ascii="Times New Roman" w:hAnsi="Times New Roman" w:cs="Times New Roman"/>
          <w:sz w:val="20"/>
          <w:szCs w:val="20"/>
        </w:rPr>
        <w:t>entity</w:t>
      </w:r>
      <w:r w:rsidRPr="000B516B">
        <w:rPr>
          <w:rFonts w:ascii="Times New Roman" w:hAnsi="Times New Roman" w:cs="Times New Roman"/>
          <w:sz w:val="20"/>
          <w:szCs w:val="20"/>
        </w:rPr>
        <w:t xml:space="preserve"> Jaroslav Černi Water Institute, joint stock company, Belgrade of 1 October 2021.</w:t>
      </w:r>
    </w:p>
  </w:footnote>
  <w:footnote w:id="18">
    <w:p w14:paraId="157599FE" w14:textId="28F0E471" w:rsidR="00B004F0" w:rsidRPr="000B516B" w:rsidRDefault="00B004F0" w:rsidP="00BB0D7B">
      <w:pPr>
        <w:pStyle w:val="NoSpacing"/>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00F97CB0">
        <w:rPr>
          <w:rFonts w:ascii="Times New Roman" w:hAnsi="Times New Roman" w:cs="Times New Roman"/>
          <w:sz w:val="20"/>
          <w:szCs w:val="20"/>
        </w:rPr>
        <w:t xml:space="preserve"> </w:t>
      </w:r>
      <w:r w:rsidRPr="000B516B">
        <w:rPr>
          <w:rFonts w:ascii="Times New Roman" w:hAnsi="Times New Roman" w:cs="Times New Roman"/>
          <w:sz w:val="20"/>
          <w:szCs w:val="20"/>
        </w:rPr>
        <w:t>Public statement of Ministry of Economy of 8. November 2021.</w:t>
      </w:r>
    </w:p>
  </w:footnote>
  <w:footnote w:id="19">
    <w:p w14:paraId="32A8AAD0" w14:textId="53BECDF4" w:rsidR="008205BE" w:rsidRPr="000B516B" w:rsidRDefault="008205BE" w:rsidP="008205BE">
      <w:pPr>
        <w:pStyle w:val="NoSpacing"/>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Decision on supplementing the agenda of the 24th extraordinary session of the General Meeting of the Jaroslav Černi Water Institute, joint stock company, sheduled for 19 Novemeber 2021.</w:t>
      </w:r>
    </w:p>
  </w:footnote>
  <w:footnote w:id="20">
    <w:p w14:paraId="574CC122" w14:textId="6203619C" w:rsidR="00B004F0" w:rsidRPr="000B516B" w:rsidRDefault="00B004F0" w:rsidP="0093667B">
      <w:pPr>
        <w:pStyle w:val="NoSpacing"/>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Decision of the Ministry of Economy No.023-02-689/2021-05 of 28 November 2021 on the declaration of the buyer.</w:t>
      </w:r>
    </w:p>
  </w:footnote>
  <w:footnote w:id="21">
    <w:p w14:paraId="662EF1F6" w14:textId="589B2135"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Mitja Brilly: “Water management in the countries in transition”, Vodoprivreda, Vol. 48, pp. 107–113, SDOH 2016., UDK: 626:627, ISSN 0350-0519.</w:t>
      </w:r>
    </w:p>
  </w:footnote>
  <w:footnote w:id="22">
    <w:p w14:paraId="1C7E5E64" w14:textId="0F8B9601" w:rsidR="00B004F0" w:rsidRPr="000B516B" w:rsidRDefault="00B004F0" w:rsidP="0014352E">
      <w:pPr>
        <w:pStyle w:val="NoSpacing"/>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Report of the World Commission on Environment and Development: “Our Common Future”, also known as the “Bruntland Report”</w:t>
      </w:r>
      <w:r w:rsidR="00B97F1D">
        <w:rPr>
          <w:rFonts w:ascii="Times New Roman" w:hAnsi="Times New Roman" w:cs="Times New Roman"/>
          <w:sz w:val="20"/>
          <w:szCs w:val="20"/>
        </w:rPr>
        <w:t>.</w:t>
      </w:r>
    </w:p>
  </w:footnote>
  <w:footnote w:id="23">
    <w:p w14:paraId="0B8B1B41" w14:textId="40A5F9A5" w:rsidR="00B004F0" w:rsidRPr="000B516B" w:rsidRDefault="00B004F0" w:rsidP="0014352E">
      <w:pPr>
        <w:pStyle w:val="NoSpacing"/>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Strategy of Scientific and Technological Development of the Republic of Serbia for the period from 2021 to 2025 “The power of knowledge” (Official Gazette of the Republic of Serbia, No. 10 of 10. February 2021).</w:t>
      </w:r>
    </w:p>
  </w:footnote>
  <w:footnote w:id="24">
    <w:p w14:paraId="4BFB1179" w14:textId="79065D28" w:rsidR="00B004F0" w:rsidRPr="000B516B" w:rsidRDefault="00B004F0" w:rsidP="0014352E">
      <w:pPr>
        <w:pStyle w:val="NoSpacing"/>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The Law on Science and Research (Official Gazette of the Republic of Serbia, No. 49/19)</w:t>
      </w:r>
      <w:r w:rsidR="00B97F1D">
        <w:rPr>
          <w:rFonts w:ascii="Times New Roman" w:hAnsi="Times New Roman" w:cs="Times New Roman"/>
          <w:sz w:val="20"/>
          <w:szCs w:val="20"/>
        </w:rPr>
        <w:t>.</w:t>
      </w:r>
    </w:p>
  </w:footnote>
  <w:footnote w:id="25">
    <w:p w14:paraId="6819B246" w14:textId="7388099B" w:rsidR="00B004F0" w:rsidRPr="000B516B" w:rsidRDefault="00B004F0" w:rsidP="00B97F1D">
      <w:pPr>
        <w:pStyle w:val="NoSpacing"/>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 xml:space="preserve"> The Law on the Science Fund of the Republic of Serbia (Official Gazette of the Republic of Serbia, No. 95/18)</w:t>
      </w:r>
      <w:r w:rsidR="00B97F1D">
        <w:rPr>
          <w:rFonts w:ascii="Times New Roman" w:hAnsi="Times New Roman" w:cs="Times New Roman"/>
          <w:sz w:val="20"/>
          <w:szCs w:val="20"/>
        </w:rPr>
        <w:t>.</w:t>
      </w:r>
    </w:p>
  </w:footnote>
  <w:footnote w:id="26">
    <w:p w14:paraId="1ED77DEA" w14:textId="7A344FAF" w:rsidR="00B004F0" w:rsidRPr="007A7F47"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Pr="000B516B">
        <w:rPr>
          <w:rFonts w:ascii="Times New Roman" w:hAnsi="Times New Roman" w:cs="Times New Roman"/>
        </w:rPr>
        <w:t xml:space="preserve"> Notification of the Anti-corruption Agency No. 037-00-0179/21-09 of 16 </w:t>
      </w:r>
      <w:r w:rsidRPr="007A7F47">
        <w:rPr>
          <w:rFonts w:ascii="Times New Roman" w:hAnsi="Times New Roman" w:cs="Times New Roman"/>
        </w:rPr>
        <w:t>December 2021</w:t>
      </w:r>
      <w:r w:rsidR="007A7F47" w:rsidRPr="007A7F47">
        <w:rPr>
          <w:rFonts w:ascii="Times New Roman" w:hAnsi="Times New Roman" w:cs="Times New Roman"/>
        </w:rPr>
        <w:t>.</w:t>
      </w:r>
    </w:p>
  </w:footnote>
  <w:footnote w:id="27">
    <w:p w14:paraId="195200A4" w14:textId="6EFBC2D5" w:rsidR="00B004F0" w:rsidRPr="000B516B" w:rsidRDefault="00B004F0">
      <w:pPr>
        <w:pStyle w:val="FootnoteText"/>
        <w:rPr>
          <w:rFonts w:ascii="Times New Roman" w:hAnsi="Times New Roman" w:cs="Times New Roman"/>
        </w:rPr>
      </w:pPr>
      <w:r w:rsidRPr="000B516B">
        <w:rPr>
          <w:rStyle w:val="FootnoteReference"/>
          <w:rFonts w:ascii="Times New Roman" w:hAnsi="Times New Roman" w:cs="Times New Roman"/>
        </w:rPr>
        <w:footnoteRef/>
      </w:r>
      <w:r w:rsidR="009E4999">
        <w:rPr>
          <w:rFonts w:ascii="Times New Roman" w:hAnsi="Times New Roman" w:cs="Times New Roman"/>
        </w:rPr>
        <w:t xml:space="preserve"> </w:t>
      </w:r>
      <w:r w:rsidRPr="000B516B">
        <w:rPr>
          <w:rFonts w:ascii="Times New Roman" w:hAnsi="Times New Roman" w:cs="Times New Roman"/>
        </w:rPr>
        <w:t>Report of the Anti-Corruption Council of the Government of the Republic of Serbia No. 500-9831/2020.</w:t>
      </w:r>
    </w:p>
  </w:footnote>
  <w:footnote w:id="28">
    <w:p w14:paraId="2CB0F229" w14:textId="3F184EC5" w:rsidR="00B004F0" w:rsidRPr="000B516B" w:rsidRDefault="00B004F0" w:rsidP="009E4999">
      <w:pPr>
        <w:spacing w:after="0" w:line="240" w:lineRule="auto"/>
        <w:jc w:val="both"/>
        <w:rPr>
          <w:rFonts w:ascii="Times New Roman" w:hAnsi="Times New Roman" w:cs="Times New Roman"/>
          <w:sz w:val="20"/>
          <w:szCs w:val="20"/>
        </w:rPr>
      </w:pPr>
      <w:r w:rsidRPr="000B516B">
        <w:rPr>
          <w:rStyle w:val="FootnoteReference"/>
          <w:rFonts w:ascii="Times New Roman" w:hAnsi="Times New Roman" w:cs="Times New Roman"/>
          <w:sz w:val="20"/>
          <w:szCs w:val="20"/>
        </w:rPr>
        <w:footnoteRef/>
      </w:r>
      <w:r w:rsidRPr="000B516B">
        <w:rPr>
          <w:rFonts w:ascii="Times New Roman" w:hAnsi="Times New Roman" w:cs="Times New Roman"/>
          <w:sz w:val="20"/>
          <w:szCs w:val="20"/>
        </w:rPr>
        <w:t>Report of the Anti-Corruption Council of the Government of the Republic of Serbia No. 021-00-10138/2021 of 2 November 2021.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BCC"/>
    <w:multiLevelType w:val="hybridMultilevel"/>
    <w:tmpl w:val="1D7C914E"/>
    <w:lvl w:ilvl="0" w:tplc="F8C2B64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6BF5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4892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0F9F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A148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88E28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4290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29D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24E0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421404"/>
    <w:multiLevelType w:val="hybridMultilevel"/>
    <w:tmpl w:val="D6340FB8"/>
    <w:lvl w:ilvl="0" w:tplc="B540E8D6">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BD867D5"/>
    <w:multiLevelType w:val="hybridMultilevel"/>
    <w:tmpl w:val="C02E2A3A"/>
    <w:lvl w:ilvl="0" w:tplc="5FDE1F0E">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C6CFB"/>
    <w:multiLevelType w:val="hybridMultilevel"/>
    <w:tmpl w:val="337443AC"/>
    <w:lvl w:ilvl="0" w:tplc="9BBC1E9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E242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2E1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251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38B1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CD9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4250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DC86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846AB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7E4BC8"/>
    <w:multiLevelType w:val="hybridMultilevel"/>
    <w:tmpl w:val="FFE6BDD2"/>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5" w15:restartNumberingAfterBreak="0">
    <w:nsid w:val="258225E9"/>
    <w:multiLevelType w:val="hybridMultilevel"/>
    <w:tmpl w:val="0660F0D2"/>
    <w:lvl w:ilvl="0" w:tplc="4328AB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202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0EE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E617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D82E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6E3C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424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9053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861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C6C7028"/>
    <w:multiLevelType w:val="hybridMultilevel"/>
    <w:tmpl w:val="0D0CDC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2D7CB6"/>
    <w:multiLevelType w:val="hybridMultilevel"/>
    <w:tmpl w:val="6234F1D2"/>
    <w:lvl w:ilvl="0" w:tplc="C1A42A42">
      <w:start w:val="1"/>
      <w:numFmt w:val="decimal"/>
      <w:lvlText w:val="%1)"/>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CB0B0">
      <w:start w:val="1"/>
      <w:numFmt w:val="lowerLetter"/>
      <w:lvlText w:val="%2"/>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687DA">
      <w:start w:val="1"/>
      <w:numFmt w:val="lowerRoman"/>
      <w:lvlText w:val="%3"/>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8114C">
      <w:start w:val="1"/>
      <w:numFmt w:val="decimal"/>
      <w:lvlText w:val="%4"/>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6131C">
      <w:start w:val="1"/>
      <w:numFmt w:val="lowerLetter"/>
      <w:lvlText w:val="%5"/>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E402BC">
      <w:start w:val="1"/>
      <w:numFmt w:val="lowerRoman"/>
      <w:lvlText w:val="%6"/>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6E4B88">
      <w:start w:val="1"/>
      <w:numFmt w:val="decimal"/>
      <w:lvlText w:val="%7"/>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B80816">
      <w:start w:val="1"/>
      <w:numFmt w:val="lowerLetter"/>
      <w:lvlText w:val="%8"/>
      <w:lvlJc w:val="left"/>
      <w:pPr>
        <w:ind w:left="6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6A776">
      <w:start w:val="1"/>
      <w:numFmt w:val="lowerRoman"/>
      <w:lvlText w:val="%9"/>
      <w:lvlJc w:val="left"/>
      <w:pPr>
        <w:ind w:left="7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680780"/>
    <w:multiLevelType w:val="hybridMultilevel"/>
    <w:tmpl w:val="F9EEB8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73A8D"/>
    <w:multiLevelType w:val="hybridMultilevel"/>
    <w:tmpl w:val="D4904466"/>
    <w:lvl w:ilvl="0" w:tplc="856AAF1E">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4E57CC">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24B3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A06A8">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C6176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09AC4">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8CB44">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2819E">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C2802">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1E77B11"/>
    <w:multiLevelType w:val="multilevel"/>
    <w:tmpl w:val="DA66313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20D289F"/>
    <w:multiLevelType w:val="hybridMultilevel"/>
    <w:tmpl w:val="1D8834E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2" w15:restartNumberingAfterBreak="0">
    <w:nsid w:val="5F3829CF"/>
    <w:multiLevelType w:val="hybridMultilevel"/>
    <w:tmpl w:val="65001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00D0F4D"/>
    <w:multiLevelType w:val="hybridMultilevel"/>
    <w:tmpl w:val="426234AA"/>
    <w:lvl w:ilvl="0" w:tplc="08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11A7D79"/>
    <w:multiLevelType w:val="hybridMultilevel"/>
    <w:tmpl w:val="A55E93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AA389E"/>
    <w:multiLevelType w:val="hybridMultilevel"/>
    <w:tmpl w:val="8190F4C2"/>
    <w:lvl w:ilvl="0" w:tplc="5AA4A496">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6AD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CC8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787A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86B3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245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0B3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9ADA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926C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FF5E41"/>
    <w:multiLevelType w:val="hybridMultilevel"/>
    <w:tmpl w:val="E7DC71A0"/>
    <w:lvl w:ilvl="0" w:tplc="63264830">
      <w:start w:val="1"/>
      <w:numFmt w:val="decimal"/>
      <w:lvlText w:val="%1."/>
      <w:lvlJc w:val="left"/>
      <w:pPr>
        <w:ind w:left="1800" w:hanging="360"/>
      </w:pPr>
      <w:rPr>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C7E6E27"/>
    <w:multiLevelType w:val="hybridMultilevel"/>
    <w:tmpl w:val="3708ABE0"/>
    <w:lvl w:ilvl="0" w:tplc="3962D95E">
      <w:start w:val="2"/>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04D51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69DB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68D3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EE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9855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4824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49BA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E6B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E296826"/>
    <w:multiLevelType w:val="hybridMultilevel"/>
    <w:tmpl w:val="EAD209FC"/>
    <w:lvl w:ilvl="0" w:tplc="C5D079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CC5771"/>
    <w:multiLevelType w:val="hybridMultilevel"/>
    <w:tmpl w:val="8DC0837E"/>
    <w:lvl w:ilvl="0" w:tplc="DFD698E6">
      <w:start w:val="1"/>
      <w:numFmt w:val="decimal"/>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209FE8">
      <w:start w:val="1"/>
      <w:numFmt w:val="lowerLetter"/>
      <w:lvlText w:val="%2"/>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C4D616">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8CD1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448A2E">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7AE92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C399C">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8861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E044A">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404F71"/>
    <w:multiLevelType w:val="hybridMultilevel"/>
    <w:tmpl w:val="C4FC9F02"/>
    <w:lvl w:ilvl="0" w:tplc="85EE5FE2">
      <w:start w:val="1"/>
      <w:numFmt w:val="decimal"/>
      <w:lvlText w:val="%1)"/>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CA9AA">
      <w:start w:val="1"/>
      <w:numFmt w:val="lowerLetter"/>
      <w:lvlText w:val="%2"/>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4E7498">
      <w:start w:val="1"/>
      <w:numFmt w:val="lowerRoman"/>
      <w:lvlText w:val="%3"/>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4ED4AA">
      <w:start w:val="1"/>
      <w:numFmt w:val="decimal"/>
      <w:lvlText w:val="%4"/>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1CB614">
      <w:start w:val="1"/>
      <w:numFmt w:val="lowerLetter"/>
      <w:lvlText w:val="%5"/>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002BC">
      <w:start w:val="1"/>
      <w:numFmt w:val="lowerRoman"/>
      <w:lvlText w:val="%6"/>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C2238">
      <w:start w:val="1"/>
      <w:numFmt w:val="decimal"/>
      <w:lvlText w:val="%7"/>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CAA690">
      <w:start w:val="1"/>
      <w:numFmt w:val="lowerLetter"/>
      <w:lvlText w:val="%8"/>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08EC90">
      <w:start w:val="1"/>
      <w:numFmt w:val="lowerRoman"/>
      <w:lvlText w:val="%9"/>
      <w:lvlJc w:val="left"/>
      <w:pPr>
        <w:ind w:left="6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
  </w:num>
  <w:num w:numId="3">
    <w:abstractNumId w:val="20"/>
  </w:num>
  <w:num w:numId="4">
    <w:abstractNumId w:val="15"/>
  </w:num>
  <w:num w:numId="5">
    <w:abstractNumId w:val="7"/>
  </w:num>
  <w:num w:numId="6">
    <w:abstractNumId w:val="17"/>
  </w:num>
  <w:num w:numId="7">
    <w:abstractNumId w:val="3"/>
  </w:num>
  <w:num w:numId="8">
    <w:abstractNumId w:val="5"/>
  </w:num>
  <w:num w:numId="9">
    <w:abstractNumId w:val="19"/>
  </w:num>
  <w:num w:numId="10">
    <w:abstractNumId w:val="0"/>
  </w:num>
  <w:num w:numId="11">
    <w:abstractNumId w:val="2"/>
  </w:num>
  <w:num w:numId="12">
    <w:abstractNumId w:val="18"/>
  </w:num>
  <w:num w:numId="13">
    <w:abstractNumId w:val="10"/>
  </w:num>
  <w:num w:numId="14">
    <w:abstractNumId w:val="4"/>
  </w:num>
  <w:num w:numId="15">
    <w:abstractNumId w:val="12"/>
  </w:num>
  <w:num w:numId="16">
    <w:abstractNumId w:val="11"/>
  </w:num>
  <w:num w:numId="17">
    <w:abstractNumId w:val="13"/>
  </w:num>
  <w:num w:numId="18">
    <w:abstractNumId w:val="14"/>
  </w:num>
  <w:num w:numId="19">
    <w:abstractNumId w:val="6"/>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10"/>
    <w:rsid w:val="00001077"/>
    <w:rsid w:val="00001276"/>
    <w:rsid w:val="00001961"/>
    <w:rsid w:val="0000202F"/>
    <w:rsid w:val="00002A53"/>
    <w:rsid w:val="00003ED8"/>
    <w:rsid w:val="00005213"/>
    <w:rsid w:val="00006377"/>
    <w:rsid w:val="000069C8"/>
    <w:rsid w:val="00006CC0"/>
    <w:rsid w:val="00006D1C"/>
    <w:rsid w:val="00006EBF"/>
    <w:rsid w:val="00010E60"/>
    <w:rsid w:val="0001150E"/>
    <w:rsid w:val="00012D86"/>
    <w:rsid w:val="00014A96"/>
    <w:rsid w:val="000152F8"/>
    <w:rsid w:val="00015953"/>
    <w:rsid w:val="00020B10"/>
    <w:rsid w:val="00020BF8"/>
    <w:rsid w:val="000210CE"/>
    <w:rsid w:val="00032569"/>
    <w:rsid w:val="00034C3D"/>
    <w:rsid w:val="000359DB"/>
    <w:rsid w:val="00037B77"/>
    <w:rsid w:val="0004530F"/>
    <w:rsid w:val="000455FC"/>
    <w:rsid w:val="00050A72"/>
    <w:rsid w:val="00050BB9"/>
    <w:rsid w:val="00051AA6"/>
    <w:rsid w:val="00052AD5"/>
    <w:rsid w:val="00053855"/>
    <w:rsid w:val="00055FC3"/>
    <w:rsid w:val="00060AA4"/>
    <w:rsid w:val="0006131D"/>
    <w:rsid w:val="00061B14"/>
    <w:rsid w:val="00062E74"/>
    <w:rsid w:val="00063190"/>
    <w:rsid w:val="000635B7"/>
    <w:rsid w:val="00067057"/>
    <w:rsid w:val="00070B1C"/>
    <w:rsid w:val="00072D23"/>
    <w:rsid w:val="00072E57"/>
    <w:rsid w:val="000746F9"/>
    <w:rsid w:val="00075D06"/>
    <w:rsid w:val="000769B2"/>
    <w:rsid w:val="0008061A"/>
    <w:rsid w:val="00080A24"/>
    <w:rsid w:val="00081485"/>
    <w:rsid w:val="00083E5E"/>
    <w:rsid w:val="000871F8"/>
    <w:rsid w:val="00087D46"/>
    <w:rsid w:val="0009060A"/>
    <w:rsid w:val="00091E7B"/>
    <w:rsid w:val="00092D07"/>
    <w:rsid w:val="000931B5"/>
    <w:rsid w:val="00095394"/>
    <w:rsid w:val="00096AD9"/>
    <w:rsid w:val="000A0081"/>
    <w:rsid w:val="000A0110"/>
    <w:rsid w:val="000A1C59"/>
    <w:rsid w:val="000A3409"/>
    <w:rsid w:val="000A58BF"/>
    <w:rsid w:val="000B0E24"/>
    <w:rsid w:val="000B2205"/>
    <w:rsid w:val="000B2B54"/>
    <w:rsid w:val="000B3390"/>
    <w:rsid w:val="000B516B"/>
    <w:rsid w:val="000B6974"/>
    <w:rsid w:val="000C1290"/>
    <w:rsid w:val="000C60FD"/>
    <w:rsid w:val="000C63DF"/>
    <w:rsid w:val="000D0DC2"/>
    <w:rsid w:val="000D170C"/>
    <w:rsid w:val="000D5475"/>
    <w:rsid w:val="000D7144"/>
    <w:rsid w:val="000E595A"/>
    <w:rsid w:val="000E7C63"/>
    <w:rsid w:val="000F1162"/>
    <w:rsid w:val="000F4C09"/>
    <w:rsid w:val="000F7765"/>
    <w:rsid w:val="00101350"/>
    <w:rsid w:val="00102AAE"/>
    <w:rsid w:val="0010396E"/>
    <w:rsid w:val="001060FB"/>
    <w:rsid w:val="00107611"/>
    <w:rsid w:val="001110BB"/>
    <w:rsid w:val="0011122E"/>
    <w:rsid w:val="00112537"/>
    <w:rsid w:val="00113520"/>
    <w:rsid w:val="00114A59"/>
    <w:rsid w:val="001222F6"/>
    <w:rsid w:val="00123E78"/>
    <w:rsid w:val="001255E9"/>
    <w:rsid w:val="00127372"/>
    <w:rsid w:val="00130669"/>
    <w:rsid w:val="00131268"/>
    <w:rsid w:val="00131760"/>
    <w:rsid w:val="0013297B"/>
    <w:rsid w:val="001356ED"/>
    <w:rsid w:val="00135CD2"/>
    <w:rsid w:val="00136156"/>
    <w:rsid w:val="001367F8"/>
    <w:rsid w:val="00137997"/>
    <w:rsid w:val="0014064E"/>
    <w:rsid w:val="001427F0"/>
    <w:rsid w:val="0014352E"/>
    <w:rsid w:val="0014734E"/>
    <w:rsid w:val="00151D29"/>
    <w:rsid w:val="001528FC"/>
    <w:rsid w:val="00152C4E"/>
    <w:rsid w:val="001540F6"/>
    <w:rsid w:val="00160864"/>
    <w:rsid w:val="00162013"/>
    <w:rsid w:val="00162C30"/>
    <w:rsid w:val="001634F3"/>
    <w:rsid w:val="00163CAD"/>
    <w:rsid w:val="0016744E"/>
    <w:rsid w:val="001676D2"/>
    <w:rsid w:val="0016770F"/>
    <w:rsid w:val="00170952"/>
    <w:rsid w:val="00174908"/>
    <w:rsid w:val="00176355"/>
    <w:rsid w:val="0017695C"/>
    <w:rsid w:val="00176ED9"/>
    <w:rsid w:val="0018105F"/>
    <w:rsid w:val="00184A40"/>
    <w:rsid w:val="00184FF3"/>
    <w:rsid w:val="00186E65"/>
    <w:rsid w:val="00190A5E"/>
    <w:rsid w:val="00192BBE"/>
    <w:rsid w:val="00193250"/>
    <w:rsid w:val="00195CC7"/>
    <w:rsid w:val="001A2014"/>
    <w:rsid w:val="001A5478"/>
    <w:rsid w:val="001A5A49"/>
    <w:rsid w:val="001A5F82"/>
    <w:rsid w:val="001A7D6D"/>
    <w:rsid w:val="001B0EF1"/>
    <w:rsid w:val="001B13D3"/>
    <w:rsid w:val="001B185F"/>
    <w:rsid w:val="001B1AC5"/>
    <w:rsid w:val="001C284D"/>
    <w:rsid w:val="001C33E6"/>
    <w:rsid w:val="001C7810"/>
    <w:rsid w:val="001D1EA7"/>
    <w:rsid w:val="001D3EDB"/>
    <w:rsid w:val="001D45A9"/>
    <w:rsid w:val="001D4D94"/>
    <w:rsid w:val="001D6E15"/>
    <w:rsid w:val="001D6F5B"/>
    <w:rsid w:val="001D71A0"/>
    <w:rsid w:val="001D7F04"/>
    <w:rsid w:val="001E045E"/>
    <w:rsid w:val="001E2498"/>
    <w:rsid w:val="001E33FC"/>
    <w:rsid w:val="001E38A8"/>
    <w:rsid w:val="001E3B12"/>
    <w:rsid w:val="001E53F9"/>
    <w:rsid w:val="001E7A1F"/>
    <w:rsid w:val="001F16E1"/>
    <w:rsid w:val="001F17BD"/>
    <w:rsid w:val="001F1D97"/>
    <w:rsid w:val="001F22AB"/>
    <w:rsid w:val="001F26C0"/>
    <w:rsid w:val="001F5B01"/>
    <w:rsid w:val="001F642B"/>
    <w:rsid w:val="00203212"/>
    <w:rsid w:val="0020399D"/>
    <w:rsid w:val="00205C4F"/>
    <w:rsid w:val="002114FF"/>
    <w:rsid w:val="0021154C"/>
    <w:rsid w:val="00211C6D"/>
    <w:rsid w:val="00212D90"/>
    <w:rsid w:val="00213C12"/>
    <w:rsid w:val="00221301"/>
    <w:rsid w:val="0022189B"/>
    <w:rsid w:val="00222264"/>
    <w:rsid w:val="00222CA4"/>
    <w:rsid w:val="00223290"/>
    <w:rsid w:val="00231D8C"/>
    <w:rsid w:val="00231FD2"/>
    <w:rsid w:val="0023217C"/>
    <w:rsid w:val="00234D9C"/>
    <w:rsid w:val="0023528A"/>
    <w:rsid w:val="00235B08"/>
    <w:rsid w:val="00235CB2"/>
    <w:rsid w:val="0023663E"/>
    <w:rsid w:val="00240335"/>
    <w:rsid w:val="0024246D"/>
    <w:rsid w:val="00245A92"/>
    <w:rsid w:val="00251D90"/>
    <w:rsid w:val="002545A4"/>
    <w:rsid w:val="00256CA5"/>
    <w:rsid w:val="00257229"/>
    <w:rsid w:val="00260FB8"/>
    <w:rsid w:val="002611B1"/>
    <w:rsid w:val="002620D1"/>
    <w:rsid w:val="00263D9C"/>
    <w:rsid w:val="00263DAC"/>
    <w:rsid w:val="00264868"/>
    <w:rsid w:val="0026692A"/>
    <w:rsid w:val="00267480"/>
    <w:rsid w:val="00272D64"/>
    <w:rsid w:val="00273B58"/>
    <w:rsid w:val="00273EA2"/>
    <w:rsid w:val="00274E93"/>
    <w:rsid w:val="002770FE"/>
    <w:rsid w:val="00277CB8"/>
    <w:rsid w:val="002809C4"/>
    <w:rsid w:val="00282A89"/>
    <w:rsid w:val="00285C47"/>
    <w:rsid w:val="0028636C"/>
    <w:rsid w:val="00286E5B"/>
    <w:rsid w:val="00287910"/>
    <w:rsid w:val="00287D97"/>
    <w:rsid w:val="0029223F"/>
    <w:rsid w:val="002A0E10"/>
    <w:rsid w:val="002A1446"/>
    <w:rsid w:val="002A34BB"/>
    <w:rsid w:val="002A5B93"/>
    <w:rsid w:val="002B3923"/>
    <w:rsid w:val="002B3C49"/>
    <w:rsid w:val="002C1D1A"/>
    <w:rsid w:val="002C33F6"/>
    <w:rsid w:val="002C34D7"/>
    <w:rsid w:val="002C5A89"/>
    <w:rsid w:val="002D1ED7"/>
    <w:rsid w:val="002D2E2F"/>
    <w:rsid w:val="002D3F9C"/>
    <w:rsid w:val="002D4A05"/>
    <w:rsid w:val="002D6F8E"/>
    <w:rsid w:val="002D7549"/>
    <w:rsid w:val="002E01AC"/>
    <w:rsid w:val="002E5FF8"/>
    <w:rsid w:val="002E6A6D"/>
    <w:rsid w:val="002E79CD"/>
    <w:rsid w:val="002F100A"/>
    <w:rsid w:val="002F1206"/>
    <w:rsid w:val="002F1976"/>
    <w:rsid w:val="002F25F4"/>
    <w:rsid w:val="002F319C"/>
    <w:rsid w:val="002F4791"/>
    <w:rsid w:val="002F53D5"/>
    <w:rsid w:val="003002F3"/>
    <w:rsid w:val="0030212F"/>
    <w:rsid w:val="00303798"/>
    <w:rsid w:val="00303FF1"/>
    <w:rsid w:val="00304040"/>
    <w:rsid w:val="00306328"/>
    <w:rsid w:val="003070EC"/>
    <w:rsid w:val="00310517"/>
    <w:rsid w:val="00311D70"/>
    <w:rsid w:val="003127D2"/>
    <w:rsid w:val="003153FC"/>
    <w:rsid w:val="00316223"/>
    <w:rsid w:val="003166D5"/>
    <w:rsid w:val="00316B16"/>
    <w:rsid w:val="00321546"/>
    <w:rsid w:val="003218FB"/>
    <w:rsid w:val="003220A1"/>
    <w:rsid w:val="0032281A"/>
    <w:rsid w:val="00323A33"/>
    <w:rsid w:val="0032791C"/>
    <w:rsid w:val="003321BE"/>
    <w:rsid w:val="00332E35"/>
    <w:rsid w:val="003333D7"/>
    <w:rsid w:val="00333B1D"/>
    <w:rsid w:val="00341350"/>
    <w:rsid w:val="00342A3C"/>
    <w:rsid w:val="0034557A"/>
    <w:rsid w:val="00345A71"/>
    <w:rsid w:val="00345F45"/>
    <w:rsid w:val="00346ACE"/>
    <w:rsid w:val="0035277B"/>
    <w:rsid w:val="00352D9F"/>
    <w:rsid w:val="00352F90"/>
    <w:rsid w:val="0035382C"/>
    <w:rsid w:val="0035507C"/>
    <w:rsid w:val="00355235"/>
    <w:rsid w:val="0035532B"/>
    <w:rsid w:val="003555FC"/>
    <w:rsid w:val="0035642E"/>
    <w:rsid w:val="003630A0"/>
    <w:rsid w:val="00364DE1"/>
    <w:rsid w:val="00365069"/>
    <w:rsid w:val="003655C8"/>
    <w:rsid w:val="00365667"/>
    <w:rsid w:val="0037140D"/>
    <w:rsid w:val="00372737"/>
    <w:rsid w:val="00372B85"/>
    <w:rsid w:val="00372D3F"/>
    <w:rsid w:val="0037554B"/>
    <w:rsid w:val="00376090"/>
    <w:rsid w:val="00376AF7"/>
    <w:rsid w:val="00380053"/>
    <w:rsid w:val="00381639"/>
    <w:rsid w:val="00385883"/>
    <w:rsid w:val="003864E8"/>
    <w:rsid w:val="00386582"/>
    <w:rsid w:val="00390B9E"/>
    <w:rsid w:val="00392E44"/>
    <w:rsid w:val="00393ABB"/>
    <w:rsid w:val="003967B5"/>
    <w:rsid w:val="003971A3"/>
    <w:rsid w:val="00397310"/>
    <w:rsid w:val="003B1433"/>
    <w:rsid w:val="003B70E2"/>
    <w:rsid w:val="003C1C9A"/>
    <w:rsid w:val="003C48A8"/>
    <w:rsid w:val="003C7689"/>
    <w:rsid w:val="003D727C"/>
    <w:rsid w:val="003D7C11"/>
    <w:rsid w:val="003E31B4"/>
    <w:rsid w:val="003E340E"/>
    <w:rsid w:val="003E6BE2"/>
    <w:rsid w:val="003E7C17"/>
    <w:rsid w:val="003F218E"/>
    <w:rsid w:val="003F254F"/>
    <w:rsid w:val="003F3F38"/>
    <w:rsid w:val="003F44CE"/>
    <w:rsid w:val="003F487A"/>
    <w:rsid w:val="003F55B6"/>
    <w:rsid w:val="003F6A24"/>
    <w:rsid w:val="004005E3"/>
    <w:rsid w:val="004024A7"/>
    <w:rsid w:val="00403C30"/>
    <w:rsid w:val="00404791"/>
    <w:rsid w:val="00404EA6"/>
    <w:rsid w:val="0041400B"/>
    <w:rsid w:val="004141DC"/>
    <w:rsid w:val="00425A13"/>
    <w:rsid w:val="00426368"/>
    <w:rsid w:val="00426E3E"/>
    <w:rsid w:val="004300B1"/>
    <w:rsid w:val="00430BD8"/>
    <w:rsid w:val="004329D5"/>
    <w:rsid w:val="00434BB7"/>
    <w:rsid w:val="00440E1D"/>
    <w:rsid w:val="00441385"/>
    <w:rsid w:val="004415AA"/>
    <w:rsid w:val="00446981"/>
    <w:rsid w:val="0044702A"/>
    <w:rsid w:val="00451749"/>
    <w:rsid w:val="00451F40"/>
    <w:rsid w:val="0045395B"/>
    <w:rsid w:val="00455799"/>
    <w:rsid w:val="00457133"/>
    <w:rsid w:val="00457C7D"/>
    <w:rsid w:val="00460B3C"/>
    <w:rsid w:val="0046177D"/>
    <w:rsid w:val="00462679"/>
    <w:rsid w:val="00462A35"/>
    <w:rsid w:val="004666F9"/>
    <w:rsid w:val="00471F90"/>
    <w:rsid w:val="00472057"/>
    <w:rsid w:val="00473346"/>
    <w:rsid w:val="004762AA"/>
    <w:rsid w:val="00476A04"/>
    <w:rsid w:val="00476EB7"/>
    <w:rsid w:val="00481AA5"/>
    <w:rsid w:val="00481EA4"/>
    <w:rsid w:val="00482611"/>
    <w:rsid w:val="00483DEA"/>
    <w:rsid w:val="004850ED"/>
    <w:rsid w:val="00486944"/>
    <w:rsid w:val="00487253"/>
    <w:rsid w:val="00490C9C"/>
    <w:rsid w:val="00491F81"/>
    <w:rsid w:val="00493A7A"/>
    <w:rsid w:val="00494AE5"/>
    <w:rsid w:val="00494F05"/>
    <w:rsid w:val="004953E8"/>
    <w:rsid w:val="00497893"/>
    <w:rsid w:val="004A5E18"/>
    <w:rsid w:val="004A7E20"/>
    <w:rsid w:val="004B2433"/>
    <w:rsid w:val="004B3745"/>
    <w:rsid w:val="004B4C5F"/>
    <w:rsid w:val="004B4ECE"/>
    <w:rsid w:val="004C0FCE"/>
    <w:rsid w:val="004C54C4"/>
    <w:rsid w:val="004C5B56"/>
    <w:rsid w:val="004C6AAC"/>
    <w:rsid w:val="004D5028"/>
    <w:rsid w:val="004D662F"/>
    <w:rsid w:val="004D76BA"/>
    <w:rsid w:val="004E26DE"/>
    <w:rsid w:val="004E463D"/>
    <w:rsid w:val="004E624D"/>
    <w:rsid w:val="004E7A04"/>
    <w:rsid w:val="004E7AD8"/>
    <w:rsid w:val="004F00FB"/>
    <w:rsid w:val="004F2E52"/>
    <w:rsid w:val="004F3007"/>
    <w:rsid w:val="004F40A9"/>
    <w:rsid w:val="004F4B6F"/>
    <w:rsid w:val="004F5AED"/>
    <w:rsid w:val="004F74E9"/>
    <w:rsid w:val="0050004F"/>
    <w:rsid w:val="0050149E"/>
    <w:rsid w:val="00503B99"/>
    <w:rsid w:val="00504AA1"/>
    <w:rsid w:val="00512825"/>
    <w:rsid w:val="00513803"/>
    <w:rsid w:val="00514B4D"/>
    <w:rsid w:val="00515C7D"/>
    <w:rsid w:val="00516BBD"/>
    <w:rsid w:val="00517C01"/>
    <w:rsid w:val="00517FBF"/>
    <w:rsid w:val="005251B2"/>
    <w:rsid w:val="005260B7"/>
    <w:rsid w:val="00527172"/>
    <w:rsid w:val="005330E3"/>
    <w:rsid w:val="005338DE"/>
    <w:rsid w:val="005343E5"/>
    <w:rsid w:val="005435E3"/>
    <w:rsid w:val="00546EFE"/>
    <w:rsid w:val="00553907"/>
    <w:rsid w:val="00555F44"/>
    <w:rsid w:val="00561A02"/>
    <w:rsid w:val="005632F4"/>
    <w:rsid w:val="00563B86"/>
    <w:rsid w:val="00565EA9"/>
    <w:rsid w:val="00566EE9"/>
    <w:rsid w:val="00567547"/>
    <w:rsid w:val="00570692"/>
    <w:rsid w:val="00570B79"/>
    <w:rsid w:val="005750ED"/>
    <w:rsid w:val="0057565A"/>
    <w:rsid w:val="00576906"/>
    <w:rsid w:val="00576BE6"/>
    <w:rsid w:val="00581CB6"/>
    <w:rsid w:val="00581F25"/>
    <w:rsid w:val="00582240"/>
    <w:rsid w:val="005829FE"/>
    <w:rsid w:val="00583BBD"/>
    <w:rsid w:val="0058770C"/>
    <w:rsid w:val="00590645"/>
    <w:rsid w:val="0059277A"/>
    <w:rsid w:val="0059442F"/>
    <w:rsid w:val="005A0091"/>
    <w:rsid w:val="005A0B78"/>
    <w:rsid w:val="005A0FC0"/>
    <w:rsid w:val="005A10C3"/>
    <w:rsid w:val="005A21CF"/>
    <w:rsid w:val="005A3315"/>
    <w:rsid w:val="005A3B7A"/>
    <w:rsid w:val="005A4939"/>
    <w:rsid w:val="005A4DD7"/>
    <w:rsid w:val="005A56D3"/>
    <w:rsid w:val="005A58E1"/>
    <w:rsid w:val="005A5B42"/>
    <w:rsid w:val="005A684B"/>
    <w:rsid w:val="005A745E"/>
    <w:rsid w:val="005B5584"/>
    <w:rsid w:val="005B6145"/>
    <w:rsid w:val="005B7F0A"/>
    <w:rsid w:val="005C0CE5"/>
    <w:rsid w:val="005C45DB"/>
    <w:rsid w:val="005C5757"/>
    <w:rsid w:val="005D46E9"/>
    <w:rsid w:val="005E2125"/>
    <w:rsid w:val="005E7799"/>
    <w:rsid w:val="005E7836"/>
    <w:rsid w:val="005F3593"/>
    <w:rsid w:val="005F5186"/>
    <w:rsid w:val="005F57A7"/>
    <w:rsid w:val="005F57C1"/>
    <w:rsid w:val="005F6449"/>
    <w:rsid w:val="0060134E"/>
    <w:rsid w:val="00606553"/>
    <w:rsid w:val="00606717"/>
    <w:rsid w:val="00610346"/>
    <w:rsid w:val="00614F3B"/>
    <w:rsid w:val="00617E56"/>
    <w:rsid w:val="00620402"/>
    <w:rsid w:val="0062202B"/>
    <w:rsid w:val="006319F1"/>
    <w:rsid w:val="006335E8"/>
    <w:rsid w:val="00633860"/>
    <w:rsid w:val="00633935"/>
    <w:rsid w:val="006365F4"/>
    <w:rsid w:val="00641B6A"/>
    <w:rsid w:val="00641CA1"/>
    <w:rsid w:val="00642CCE"/>
    <w:rsid w:val="00646449"/>
    <w:rsid w:val="0065180C"/>
    <w:rsid w:val="0065396B"/>
    <w:rsid w:val="0065531F"/>
    <w:rsid w:val="0066073E"/>
    <w:rsid w:val="00661933"/>
    <w:rsid w:val="00661E94"/>
    <w:rsid w:val="0066353D"/>
    <w:rsid w:val="00663713"/>
    <w:rsid w:val="00663DC7"/>
    <w:rsid w:val="00667BD9"/>
    <w:rsid w:val="006713B7"/>
    <w:rsid w:val="00671F84"/>
    <w:rsid w:val="0067485E"/>
    <w:rsid w:val="00674B09"/>
    <w:rsid w:val="0068047E"/>
    <w:rsid w:val="0068477E"/>
    <w:rsid w:val="00691C93"/>
    <w:rsid w:val="00691E4F"/>
    <w:rsid w:val="00694746"/>
    <w:rsid w:val="006A60DB"/>
    <w:rsid w:val="006A76C0"/>
    <w:rsid w:val="006B7BFD"/>
    <w:rsid w:val="006C28FD"/>
    <w:rsid w:val="006D3986"/>
    <w:rsid w:val="006D4361"/>
    <w:rsid w:val="006D4D62"/>
    <w:rsid w:val="006D58B4"/>
    <w:rsid w:val="006D702F"/>
    <w:rsid w:val="006D7173"/>
    <w:rsid w:val="006D79C6"/>
    <w:rsid w:val="006E0627"/>
    <w:rsid w:val="006E3A29"/>
    <w:rsid w:val="006E470D"/>
    <w:rsid w:val="006E5CA5"/>
    <w:rsid w:val="006F1CFB"/>
    <w:rsid w:val="006F32AD"/>
    <w:rsid w:val="006F5BDD"/>
    <w:rsid w:val="006F6AD2"/>
    <w:rsid w:val="006F7181"/>
    <w:rsid w:val="007016F0"/>
    <w:rsid w:val="00702FA8"/>
    <w:rsid w:val="007034A8"/>
    <w:rsid w:val="00703AF7"/>
    <w:rsid w:val="00705920"/>
    <w:rsid w:val="00705ABD"/>
    <w:rsid w:val="00707ED2"/>
    <w:rsid w:val="00710243"/>
    <w:rsid w:val="00710B78"/>
    <w:rsid w:val="00712F8D"/>
    <w:rsid w:val="0071399C"/>
    <w:rsid w:val="00717B7D"/>
    <w:rsid w:val="007207D4"/>
    <w:rsid w:val="00721BC8"/>
    <w:rsid w:val="00721DEB"/>
    <w:rsid w:val="00721F69"/>
    <w:rsid w:val="007227CC"/>
    <w:rsid w:val="00722812"/>
    <w:rsid w:val="0073045C"/>
    <w:rsid w:val="00730A1F"/>
    <w:rsid w:val="007337BC"/>
    <w:rsid w:val="00734524"/>
    <w:rsid w:val="00736454"/>
    <w:rsid w:val="0074177D"/>
    <w:rsid w:val="007449C3"/>
    <w:rsid w:val="00744DDA"/>
    <w:rsid w:val="00746F08"/>
    <w:rsid w:val="00747423"/>
    <w:rsid w:val="00747546"/>
    <w:rsid w:val="00747C15"/>
    <w:rsid w:val="007503D7"/>
    <w:rsid w:val="00754328"/>
    <w:rsid w:val="0075520B"/>
    <w:rsid w:val="00755AB5"/>
    <w:rsid w:val="00755EBA"/>
    <w:rsid w:val="00761680"/>
    <w:rsid w:val="00762BD9"/>
    <w:rsid w:val="00764EDC"/>
    <w:rsid w:val="007657CF"/>
    <w:rsid w:val="00765BB4"/>
    <w:rsid w:val="00772D30"/>
    <w:rsid w:val="00772E56"/>
    <w:rsid w:val="00774744"/>
    <w:rsid w:val="00774B41"/>
    <w:rsid w:val="007817CC"/>
    <w:rsid w:val="00785CCF"/>
    <w:rsid w:val="00786ABC"/>
    <w:rsid w:val="00790723"/>
    <w:rsid w:val="0079764E"/>
    <w:rsid w:val="007A2057"/>
    <w:rsid w:val="007A7F47"/>
    <w:rsid w:val="007B1F56"/>
    <w:rsid w:val="007B2CC6"/>
    <w:rsid w:val="007B5FC3"/>
    <w:rsid w:val="007B6A36"/>
    <w:rsid w:val="007C064D"/>
    <w:rsid w:val="007C0FC0"/>
    <w:rsid w:val="007C1A17"/>
    <w:rsid w:val="007C2001"/>
    <w:rsid w:val="007C631B"/>
    <w:rsid w:val="007C77CD"/>
    <w:rsid w:val="007C7F4D"/>
    <w:rsid w:val="007D01B5"/>
    <w:rsid w:val="007D55A2"/>
    <w:rsid w:val="007D5659"/>
    <w:rsid w:val="007D59AA"/>
    <w:rsid w:val="007D5C0E"/>
    <w:rsid w:val="007D7536"/>
    <w:rsid w:val="007D7684"/>
    <w:rsid w:val="007E002D"/>
    <w:rsid w:val="007E2AA3"/>
    <w:rsid w:val="007E3F0F"/>
    <w:rsid w:val="007E4634"/>
    <w:rsid w:val="007E5B07"/>
    <w:rsid w:val="007E6BDF"/>
    <w:rsid w:val="007E7820"/>
    <w:rsid w:val="007F0C32"/>
    <w:rsid w:val="007F1D96"/>
    <w:rsid w:val="007F5150"/>
    <w:rsid w:val="008012B4"/>
    <w:rsid w:val="008019E2"/>
    <w:rsid w:val="008050C8"/>
    <w:rsid w:val="008051E9"/>
    <w:rsid w:val="008072C2"/>
    <w:rsid w:val="00811161"/>
    <w:rsid w:val="00811195"/>
    <w:rsid w:val="00811521"/>
    <w:rsid w:val="00811561"/>
    <w:rsid w:val="00811D07"/>
    <w:rsid w:val="00813CD6"/>
    <w:rsid w:val="00813ED7"/>
    <w:rsid w:val="00815EFE"/>
    <w:rsid w:val="008205BE"/>
    <w:rsid w:val="008230AD"/>
    <w:rsid w:val="0082359B"/>
    <w:rsid w:val="00823F35"/>
    <w:rsid w:val="0083293B"/>
    <w:rsid w:val="008343E8"/>
    <w:rsid w:val="00835754"/>
    <w:rsid w:val="0083672B"/>
    <w:rsid w:val="00837606"/>
    <w:rsid w:val="008379BA"/>
    <w:rsid w:val="0084063D"/>
    <w:rsid w:val="00841ECA"/>
    <w:rsid w:val="00841F9A"/>
    <w:rsid w:val="008421DA"/>
    <w:rsid w:val="008424BA"/>
    <w:rsid w:val="00842CFC"/>
    <w:rsid w:val="00847BA9"/>
    <w:rsid w:val="008520C6"/>
    <w:rsid w:val="008573CE"/>
    <w:rsid w:val="0085779B"/>
    <w:rsid w:val="00857EBD"/>
    <w:rsid w:val="00861455"/>
    <w:rsid w:val="00861F7F"/>
    <w:rsid w:val="008621A3"/>
    <w:rsid w:val="008621E8"/>
    <w:rsid w:val="00865935"/>
    <w:rsid w:val="00870AC6"/>
    <w:rsid w:val="00870CB5"/>
    <w:rsid w:val="0087211C"/>
    <w:rsid w:val="008724C7"/>
    <w:rsid w:val="00872E78"/>
    <w:rsid w:val="00872FF9"/>
    <w:rsid w:val="00873EB1"/>
    <w:rsid w:val="008757DF"/>
    <w:rsid w:val="0087606F"/>
    <w:rsid w:val="00876935"/>
    <w:rsid w:val="0088049C"/>
    <w:rsid w:val="00882CF8"/>
    <w:rsid w:val="0088634D"/>
    <w:rsid w:val="00891523"/>
    <w:rsid w:val="00891786"/>
    <w:rsid w:val="008968A3"/>
    <w:rsid w:val="008970CB"/>
    <w:rsid w:val="00897C0D"/>
    <w:rsid w:val="008A0431"/>
    <w:rsid w:val="008A1B96"/>
    <w:rsid w:val="008A2C14"/>
    <w:rsid w:val="008A2D4D"/>
    <w:rsid w:val="008A571C"/>
    <w:rsid w:val="008A647C"/>
    <w:rsid w:val="008B0463"/>
    <w:rsid w:val="008B234E"/>
    <w:rsid w:val="008B4D7A"/>
    <w:rsid w:val="008B6D20"/>
    <w:rsid w:val="008B7692"/>
    <w:rsid w:val="008C21CF"/>
    <w:rsid w:val="008C2BDD"/>
    <w:rsid w:val="008C3184"/>
    <w:rsid w:val="008C6E5B"/>
    <w:rsid w:val="008D18D3"/>
    <w:rsid w:val="008D3B67"/>
    <w:rsid w:val="008D4AF7"/>
    <w:rsid w:val="008D4BF2"/>
    <w:rsid w:val="008D5756"/>
    <w:rsid w:val="008D665D"/>
    <w:rsid w:val="008E198A"/>
    <w:rsid w:val="008E1FE9"/>
    <w:rsid w:val="008E4868"/>
    <w:rsid w:val="008F1479"/>
    <w:rsid w:val="008F2F8E"/>
    <w:rsid w:val="008F52AD"/>
    <w:rsid w:val="008F742C"/>
    <w:rsid w:val="00902E6F"/>
    <w:rsid w:val="0090570D"/>
    <w:rsid w:val="009058B5"/>
    <w:rsid w:val="009101EC"/>
    <w:rsid w:val="00911220"/>
    <w:rsid w:val="00912C0B"/>
    <w:rsid w:val="009133CC"/>
    <w:rsid w:val="009212C8"/>
    <w:rsid w:val="00923339"/>
    <w:rsid w:val="00925CC8"/>
    <w:rsid w:val="0092669D"/>
    <w:rsid w:val="00926BD8"/>
    <w:rsid w:val="009272F1"/>
    <w:rsid w:val="00932FDF"/>
    <w:rsid w:val="0093667B"/>
    <w:rsid w:val="00937C68"/>
    <w:rsid w:val="00940272"/>
    <w:rsid w:val="00940709"/>
    <w:rsid w:val="00944077"/>
    <w:rsid w:val="009451FF"/>
    <w:rsid w:val="00946759"/>
    <w:rsid w:val="00951457"/>
    <w:rsid w:val="0095175C"/>
    <w:rsid w:val="009535EC"/>
    <w:rsid w:val="00955A64"/>
    <w:rsid w:val="00957AA5"/>
    <w:rsid w:val="00961D51"/>
    <w:rsid w:val="00966071"/>
    <w:rsid w:val="009661E6"/>
    <w:rsid w:val="00970ABF"/>
    <w:rsid w:val="00970D6A"/>
    <w:rsid w:val="009738DC"/>
    <w:rsid w:val="0097460A"/>
    <w:rsid w:val="009757AC"/>
    <w:rsid w:val="00980097"/>
    <w:rsid w:val="00982769"/>
    <w:rsid w:val="0098332E"/>
    <w:rsid w:val="00986239"/>
    <w:rsid w:val="00986AB9"/>
    <w:rsid w:val="00986F76"/>
    <w:rsid w:val="0098745A"/>
    <w:rsid w:val="0098764F"/>
    <w:rsid w:val="00987B62"/>
    <w:rsid w:val="009931DE"/>
    <w:rsid w:val="00993F03"/>
    <w:rsid w:val="00994749"/>
    <w:rsid w:val="00997E18"/>
    <w:rsid w:val="009A02CC"/>
    <w:rsid w:val="009A275D"/>
    <w:rsid w:val="009A548A"/>
    <w:rsid w:val="009A6AA8"/>
    <w:rsid w:val="009A72C4"/>
    <w:rsid w:val="009A786B"/>
    <w:rsid w:val="009A7932"/>
    <w:rsid w:val="009B362B"/>
    <w:rsid w:val="009B4B10"/>
    <w:rsid w:val="009B4DAA"/>
    <w:rsid w:val="009B67A2"/>
    <w:rsid w:val="009B7F1E"/>
    <w:rsid w:val="009C4CED"/>
    <w:rsid w:val="009C5E0A"/>
    <w:rsid w:val="009C6333"/>
    <w:rsid w:val="009D12BB"/>
    <w:rsid w:val="009D2CCB"/>
    <w:rsid w:val="009D30D1"/>
    <w:rsid w:val="009D47C4"/>
    <w:rsid w:val="009E4999"/>
    <w:rsid w:val="009E53F6"/>
    <w:rsid w:val="009E596E"/>
    <w:rsid w:val="009E60F0"/>
    <w:rsid w:val="009E63E7"/>
    <w:rsid w:val="009F0ECA"/>
    <w:rsid w:val="009F1398"/>
    <w:rsid w:val="009F3697"/>
    <w:rsid w:val="009F65C7"/>
    <w:rsid w:val="00A0066F"/>
    <w:rsid w:val="00A00A02"/>
    <w:rsid w:val="00A01540"/>
    <w:rsid w:val="00A01F28"/>
    <w:rsid w:val="00A07F9C"/>
    <w:rsid w:val="00A100CC"/>
    <w:rsid w:val="00A131DB"/>
    <w:rsid w:val="00A1328A"/>
    <w:rsid w:val="00A171A3"/>
    <w:rsid w:val="00A179CA"/>
    <w:rsid w:val="00A21F87"/>
    <w:rsid w:val="00A24822"/>
    <w:rsid w:val="00A26F9E"/>
    <w:rsid w:val="00A34ACE"/>
    <w:rsid w:val="00A362C0"/>
    <w:rsid w:val="00A37205"/>
    <w:rsid w:val="00A375F9"/>
    <w:rsid w:val="00A42430"/>
    <w:rsid w:val="00A5255C"/>
    <w:rsid w:val="00A551C4"/>
    <w:rsid w:val="00A56177"/>
    <w:rsid w:val="00A60862"/>
    <w:rsid w:val="00A60E4F"/>
    <w:rsid w:val="00A610D1"/>
    <w:rsid w:val="00A612D4"/>
    <w:rsid w:val="00A61B30"/>
    <w:rsid w:val="00A657D3"/>
    <w:rsid w:val="00A66299"/>
    <w:rsid w:val="00A7113D"/>
    <w:rsid w:val="00A72962"/>
    <w:rsid w:val="00A74E48"/>
    <w:rsid w:val="00A821F5"/>
    <w:rsid w:val="00A826D2"/>
    <w:rsid w:val="00A82CD6"/>
    <w:rsid w:val="00A835D4"/>
    <w:rsid w:val="00A83705"/>
    <w:rsid w:val="00A860BB"/>
    <w:rsid w:val="00A879A6"/>
    <w:rsid w:val="00A91EE4"/>
    <w:rsid w:val="00A94049"/>
    <w:rsid w:val="00AA0337"/>
    <w:rsid w:val="00AA0453"/>
    <w:rsid w:val="00AA30A7"/>
    <w:rsid w:val="00AA66B6"/>
    <w:rsid w:val="00AA67EF"/>
    <w:rsid w:val="00AB3AC4"/>
    <w:rsid w:val="00AB456B"/>
    <w:rsid w:val="00AB45F7"/>
    <w:rsid w:val="00AB5E99"/>
    <w:rsid w:val="00AB6C60"/>
    <w:rsid w:val="00AB781D"/>
    <w:rsid w:val="00AC1BF6"/>
    <w:rsid w:val="00AC315C"/>
    <w:rsid w:val="00AC3788"/>
    <w:rsid w:val="00AD09CB"/>
    <w:rsid w:val="00AD1FB0"/>
    <w:rsid w:val="00AD40E2"/>
    <w:rsid w:val="00AD416B"/>
    <w:rsid w:val="00AD4FA7"/>
    <w:rsid w:val="00AD6307"/>
    <w:rsid w:val="00AD6A74"/>
    <w:rsid w:val="00AE0710"/>
    <w:rsid w:val="00AE0AC5"/>
    <w:rsid w:val="00AE199A"/>
    <w:rsid w:val="00AE4241"/>
    <w:rsid w:val="00AE456B"/>
    <w:rsid w:val="00AE5E27"/>
    <w:rsid w:val="00AF4A62"/>
    <w:rsid w:val="00AF578A"/>
    <w:rsid w:val="00AF6502"/>
    <w:rsid w:val="00B004F0"/>
    <w:rsid w:val="00B02B31"/>
    <w:rsid w:val="00B06ED2"/>
    <w:rsid w:val="00B11EC8"/>
    <w:rsid w:val="00B13C74"/>
    <w:rsid w:val="00B168D3"/>
    <w:rsid w:val="00B16C20"/>
    <w:rsid w:val="00B2047F"/>
    <w:rsid w:val="00B2087C"/>
    <w:rsid w:val="00B21BA6"/>
    <w:rsid w:val="00B22442"/>
    <w:rsid w:val="00B248E1"/>
    <w:rsid w:val="00B25444"/>
    <w:rsid w:val="00B26082"/>
    <w:rsid w:val="00B30B07"/>
    <w:rsid w:val="00B328C9"/>
    <w:rsid w:val="00B34F87"/>
    <w:rsid w:val="00B40347"/>
    <w:rsid w:val="00B417B0"/>
    <w:rsid w:val="00B42180"/>
    <w:rsid w:val="00B44174"/>
    <w:rsid w:val="00B45288"/>
    <w:rsid w:val="00B45F68"/>
    <w:rsid w:val="00B463D9"/>
    <w:rsid w:val="00B466A3"/>
    <w:rsid w:val="00B47EC1"/>
    <w:rsid w:val="00B52541"/>
    <w:rsid w:val="00B52CEA"/>
    <w:rsid w:val="00B539FD"/>
    <w:rsid w:val="00B54F24"/>
    <w:rsid w:val="00B5509C"/>
    <w:rsid w:val="00B5678C"/>
    <w:rsid w:val="00B56A52"/>
    <w:rsid w:val="00B573CA"/>
    <w:rsid w:val="00B57A39"/>
    <w:rsid w:val="00B57B67"/>
    <w:rsid w:val="00B57F37"/>
    <w:rsid w:val="00B63875"/>
    <w:rsid w:val="00B64CED"/>
    <w:rsid w:val="00B64DC8"/>
    <w:rsid w:val="00B70AE9"/>
    <w:rsid w:val="00B73CEB"/>
    <w:rsid w:val="00B73D74"/>
    <w:rsid w:val="00B74F03"/>
    <w:rsid w:val="00B75B33"/>
    <w:rsid w:val="00B81883"/>
    <w:rsid w:val="00B83AFC"/>
    <w:rsid w:val="00B90D33"/>
    <w:rsid w:val="00B90DB3"/>
    <w:rsid w:val="00B91301"/>
    <w:rsid w:val="00B9135B"/>
    <w:rsid w:val="00B91E78"/>
    <w:rsid w:val="00B92CF3"/>
    <w:rsid w:val="00B92CFE"/>
    <w:rsid w:val="00B92D99"/>
    <w:rsid w:val="00B94D0B"/>
    <w:rsid w:val="00B95736"/>
    <w:rsid w:val="00B95D5B"/>
    <w:rsid w:val="00B9626B"/>
    <w:rsid w:val="00B96B43"/>
    <w:rsid w:val="00B97F1D"/>
    <w:rsid w:val="00BA11C8"/>
    <w:rsid w:val="00BB0342"/>
    <w:rsid w:val="00BB0D7B"/>
    <w:rsid w:val="00BB34DB"/>
    <w:rsid w:val="00BB4283"/>
    <w:rsid w:val="00BB604E"/>
    <w:rsid w:val="00BC26CA"/>
    <w:rsid w:val="00BC2916"/>
    <w:rsid w:val="00BC38B7"/>
    <w:rsid w:val="00BC4420"/>
    <w:rsid w:val="00BC4FFC"/>
    <w:rsid w:val="00BC533B"/>
    <w:rsid w:val="00BC6C11"/>
    <w:rsid w:val="00BD2C30"/>
    <w:rsid w:val="00BD393E"/>
    <w:rsid w:val="00BD3F87"/>
    <w:rsid w:val="00BD4989"/>
    <w:rsid w:val="00BD60A6"/>
    <w:rsid w:val="00BD7890"/>
    <w:rsid w:val="00BE1602"/>
    <w:rsid w:val="00BE235C"/>
    <w:rsid w:val="00BE64A0"/>
    <w:rsid w:val="00BF07AD"/>
    <w:rsid w:val="00BF10E3"/>
    <w:rsid w:val="00BF1150"/>
    <w:rsid w:val="00BF2461"/>
    <w:rsid w:val="00BF2CE1"/>
    <w:rsid w:val="00C00598"/>
    <w:rsid w:val="00C00FEE"/>
    <w:rsid w:val="00C0399C"/>
    <w:rsid w:val="00C11399"/>
    <w:rsid w:val="00C13836"/>
    <w:rsid w:val="00C164FA"/>
    <w:rsid w:val="00C20107"/>
    <w:rsid w:val="00C20848"/>
    <w:rsid w:val="00C21F64"/>
    <w:rsid w:val="00C249EB"/>
    <w:rsid w:val="00C251AE"/>
    <w:rsid w:val="00C26905"/>
    <w:rsid w:val="00C303A4"/>
    <w:rsid w:val="00C305EE"/>
    <w:rsid w:val="00C31206"/>
    <w:rsid w:val="00C323F7"/>
    <w:rsid w:val="00C328E4"/>
    <w:rsid w:val="00C35F31"/>
    <w:rsid w:val="00C36707"/>
    <w:rsid w:val="00C371CE"/>
    <w:rsid w:val="00C4091A"/>
    <w:rsid w:val="00C409CD"/>
    <w:rsid w:val="00C40CB7"/>
    <w:rsid w:val="00C42725"/>
    <w:rsid w:val="00C42C28"/>
    <w:rsid w:val="00C44C44"/>
    <w:rsid w:val="00C45732"/>
    <w:rsid w:val="00C45AB4"/>
    <w:rsid w:val="00C472F5"/>
    <w:rsid w:val="00C47BEB"/>
    <w:rsid w:val="00C502FC"/>
    <w:rsid w:val="00C504E0"/>
    <w:rsid w:val="00C51522"/>
    <w:rsid w:val="00C51E04"/>
    <w:rsid w:val="00C54FA5"/>
    <w:rsid w:val="00C55C97"/>
    <w:rsid w:val="00C630DA"/>
    <w:rsid w:val="00C66446"/>
    <w:rsid w:val="00C717D6"/>
    <w:rsid w:val="00C72F32"/>
    <w:rsid w:val="00C751F1"/>
    <w:rsid w:val="00C76EEE"/>
    <w:rsid w:val="00C77982"/>
    <w:rsid w:val="00C804CA"/>
    <w:rsid w:val="00C85F08"/>
    <w:rsid w:val="00C868B0"/>
    <w:rsid w:val="00C95832"/>
    <w:rsid w:val="00C96CB4"/>
    <w:rsid w:val="00CA1B68"/>
    <w:rsid w:val="00CA1F30"/>
    <w:rsid w:val="00CA24CB"/>
    <w:rsid w:val="00CA24CE"/>
    <w:rsid w:val="00CA2E59"/>
    <w:rsid w:val="00CA2FD0"/>
    <w:rsid w:val="00CB50E7"/>
    <w:rsid w:val="00CB512B"/>
    <w:rsid w:val="00CC6B9E"/>
    <w:rsid w:val="00CD10DE"/>
    <w:rsid w:val="00CD222E"/>
    <w:rsid w:val="00CD24D0"/>
    <w:rsid w:val="00CD4110"/>
    <w:rsid w:val="00CD4B66"/>
    <w:rsid w:val="00CD4ED5"/>
    <w:rsid w:val="00CD605F"/>
    <w:rsid w:val="00CD684E"/>
    <w:rsid w:val="00CE15CC"/>
    <w:rsid w:val="00CE2ECE"/>
    <w:rsid w:val="00CE45A2"/>
    <w:rsid w:val="00CE4E24"/>
    <w:rsid w:val="00CF438A"/>
    <w:rsid w:val="00CF6731"/>
    <w:rsid w:val="00D007DA"/>
    <w:rsid w:val="00D04643"/>
    <w:rsid w:val="00D06A03"/>
    <w:rsid w:val="00D06AA8"/>
    <w:rsid w:val="00D105FF"/>
    <w:rsid w:val="00D12057"/>
    <w:rsid w:val="00D127D2"/>
    <w:rsid w:val="00D1333A"/>
    <w:rsid w:val="00D14989"/>
    <w:rsid w:val="00D14CC7"/>
    <w:rsid w:val="00D155D9"/>
    <w:rsid w:val="00D1739B"/>
    <w:rsid w:val="00D21D15"/>
    <w:rsid w:val="00D21ECC"/>
    <w:rsid w:val="00D21F5D"/>
    <w:rsid w:val="00D27FB5"/>
    <w:rsid w:val="00D32218"/>
    <w:rsid w:val="00D34F06"/>
    <w:rsid w:val="00D35D1D"/>
    <w:rsid w:val="00D3651D"/>
    <w:rsid w:val="00D372C4"/>
    <w:rsid w:val="00D40A67"/>
    <w:rsid w:val="00D42B72"/>
    <w:rsid w:val="00D4324D"/>
    <w:rsid w:val="00D45899"/>
    <w:rsid w:val="00D468CD"/>
    <w:rsid w:val="00D47845"/>
    <w:rsid w:val="00D50F99"/>
    <w:rsid w:val="00D51B1C"/>
    <w:rsid w:val="00D575B5"/>
    <w:rsid w:val="00D57B9B"/>
    <w:rsid w:val="00D60E26"/>
    <w:rsid w:val="00D61340"/>
    <w:rsid w:val="00D639E5"/>
    <w:rsid w:val="00D63B9F"/>
    <w:rsid w:val="00D6574B"/>
    <w:rsid w:val="00D67B81"/>
    <w:rsid w:val="00D71653"/>
    <w:rsid w:val="00D73301"/>
    <w:rsid w:val="00D73D4A"/>
    <w:rsid w:val="00D76DBD"/>
    <w:rsid w:val="00D839AA"/>
    <w:rsid w:val="00D84651"/>
    <w:rsid w:val="00D84665"/>
    <w:rsid w:val="00D85C31"/>
    <w:rsid w:val="00D8644C"/>
    <w:rsid w:val="00D86855"/>
    <w:rsid w:val="00D86D72"/>
    <w:rsid w:val="00D871DE"/>
    <w:rsid w:val="00D91988"/>
    <w:rsid w:val="00D9206D"/>
    <w:rsid w:val="00D9389E"/>
    <w:rsid w:val="00D9390D"/>
    <w:rsid w:val="00D9629E"/>
    <w:rsid w:val="00D963FD"/>
    <w:rsid w:val="00DA062B"/>
    <w:rsid w:val="00DA2595"/>
    <w:rsid w:val="00DA2664"/>
    <w:rsid w:val="00DA2C2D"/>
    <w:rsid w:val="00DA3F49"/>
    <w:rsid w:val="00DA5493"/>
    <w:rsid w:val="00DA68B6"/>
    <w:rsid w:val="00DA702D"/>
    <w:rsid w:val="00DA7EBF"/>
    <w:rsid w:val="00DB3CDD"/>
    <w:rsid w:val="00DB51DF"/>
    <w:rsid w:val="00DB5B2F"/>
    <w:rsid w:val="00DB5C98"/>
    <w:rsid w:val="00DB7DD1"/>
    <w:rsid w:val="00DC02C7"/>
    <w:rsid w:val="00DC3FC4"/>
    <w:rsid w:val="00DC4AE3"/>
    <w:rsid w:val="00DC5069"/>
    <w:rsid w:val="00DD09E0"/>
    <w:rsid w:val="00DD1FB8"/>
    <w:rsid w:val="00DD2490"/>
    <w:rsid w:val="00DD2F02"/>
    <w:rsid w:val="00DD41F5"/>
    <w:rsid w:val="00DD4BAA"/>
    <w:rsid w:val="00DD51F5"/>
    <w:rsid w:val="00DD626D"/>
    <w:rsid w:val="00DE0EAD"/>
    <w:rsid w:val="00DE1B1F"/>
    <w:rsid w:val="00DE216B"/>
    <w:rsid w:val="00DE2E8C"/>
    <w:rsid w:val="00DE32F2"/>
    <w:rsid w:val="00DE4A24"/>
    <w:rsid w:val="00DE5309"/>
    <w:rsid w:val="00DE7E1C"/>
    <w:rsid w:val="00DF0BEC"/>
    <w:rsid w:val="00DF0F8B"/>
    <w:rsid w:val="00DF1D0F"/>
    <w:rsid w:val="00DF684B"/>
    <w:rsid w:val="00E01109"/>
    <w:rsid w:val="00E03763"/>
    <w:rsid w:val="00E0712F"/>
    <w:rsid w:val="00E11925"/>
    <w:rsid w:val="00E14631"/>
    <w:rsid w:val="00E14717"/>
    <w:rsid w:val="00E15526"/>
    <w:rsid w:val="00E203C4"/>
    <w:rsid w:val="00E20EA5"/>
    <w:rsid w:val="00E21CAA"/>
    <w:rsid w:val="00E234BF"/>
    <w:rsid w:val="00E27E31"/>
    <w:rsid w:val="00E412A7"/>
    <w:rsid w:val="00E424A8"/>
    <w:rsid w:val="00E42DF9"/>
    <w:rsid w:val="00E43F0E"/>
    <w:rsid w:val="00E457D4"/>
    <w:rsid w:val="00E51D35"/>
    <w:rsid w:val="00E541A0"/>
    <w:rsid w:val="00E60771"/>
    <w:rsid w:val="00E614FF"/>
    <w:rsid w:val="00E61917"/>
    <w:rsid w:val="00E62EC8"/>
    <w:rsid w:val="00E64129"/>
    <w:rsid w:val="00E64D22"/>
    <w:rsid w:val="00E65B29"/>
    <w:rsid w:val="00E72128"/>
    <w:rsid w:val="00E7394D"/>
    <w:rsid w:val="00E748C0"/>
    <w:rsid w:val="00E767BE"/>
    <w:rsid w:val="00E7697C"/>
    <w:rsid w:val="00E77C48"/>
    <w:rsid w:val="00E823E1"/>
    <w:rsid w:val="00E825C5"/>
    <w:rsid w:val="00E85B38"/>
    <w:rsid w:val="00E90A88"/>
    <w:rsid w:val="00E90C74"/>
    <w:rsid w:val="00E9125E"/>
    <w:rsid w:val="00E96788"/>
    <w:rsid w:val="00E97C8A"/>
    <w:rsid w:val="00EA016A"/>
    <w:rsid w:val="00EA1F54"/>
    <w:rsid w:val="00EA36E8"/>
    <w:rsid w:val="00EA5832"/>
    <w:rsid w:val="00EA659B"/>
    <w:rsid w:val="00EB1E53"/>
    <w:rsid w:val="00EB34C5"/>
    <w:rsid w:val="00EB6072"/>
    <w:rsid w:val="00EB77D1"/>
    <w:rsid w:val="00EC2B7C"/>
    <w:rsid w:val="00EC2D90"/>
    <w:rsid w:val="00EC3180"/>
    <w:rsid w:val="00EC542D"/>
    <w:rsid w:val="00EC7037"/>
    <w:rsid w:val="00ED24D2"/>
    <w:rsid w:val="00ED2F81"/>
    <w:rsid w:val="00EE0908"/>
    <w:rsid w:val="00EE282F"/>
    <w:rsid w:val="00EE2F58"/>
    <w:rsid w:val="00EE72E8"/>
    <w:rsid w:val="00EE7426"/>
    <w:rsid w:val="00EE7F6F"/>
    <w:rsid w:val="00EF0DB8"/>
    <w:rsid w:val="00EF6CF3"/>
    <w:rsid w:val="00EF7160"/>
    <w:rsid w:val="00EF7790"/>
    <w:rsid w:val="00F01F76"/>
    <w:rsid w:val="00F02409"/>
    <w:rsid w:val="00F038F7"/>
    <w:rsid w:val="00F06730"/>
    <w:rsid w:val="00F072BE"/>
    <w:rsid w:val="00F07489"/>
    <w:rsid w:val="00F109DF"/>
    <w:rsid w:val="00F12EDA"/>
    <w:rsid w:val="00F147E5"/>
    <w:rsid w:val="00F16828"/>
    <w:rsid w:val="00F16CCB"/>
    <w:rsid w:val="00F2063C"/>
    <w:rsid w:val="00F22B13"/>
    <w:rsid w:val="00F2316F"/>
    <w:rsid w:val="00F24A6E"/>
    <w:rsid w:val="00F26227"/>
    <w:rsid w:val="00F27575"/>
    <w:rsid w:val="00F30AF1"/>
    <w:rsid w:val="00F32A2A"/>
    <w:rsid w:val="00F32D01"/>
    <w:rsid w:val="00F33A5F"/>
    <w:rsid w:val="00F356BE"/>
    <w:rsid w:val="00F3687F"/>
    <w:rsid w:val="00F37C76"/>
    <w:rsid w:val="00F41C1D"/>
    <w:rsid w:val="00F43414"/>
    <w:rsid w:val="00F43B88"/>
    <w:rsid w:val="00F4754F"/>
    <w:rsid w:val="00F5262A"/>
    <w:rsid w:val="00F53B4F"/>
    <w:rsid w:val="00F54FE4"/>
    <w:rsid w:val="00F560F4"/>
    <w:rsid w:val="00F60173"/>
    <w:rsid w:val="00F624A0"/>
    <w:rsid w:val="00F63521"/>
    <w:rsid w:val="00F63AB5"/>
    <w:rsid w:val="00F64BC7"/>
    <w:rsid w:val="00F7416D"/>
    <w:rsid w:val="00F76D5E"/>
    <w:rsid w:val="00F77476"/>
    <w:rsid w:val="00F84283"/>
    <w:rsid w:val="00F84900"/>
    <w:rsid w:val="00F855EE"/>
    <w:rsid w:val="00F859C9"/>
    <w:rsid w:val="00F862F3"/>
    <w:rsid w:val="00F8668D"/>
    <w:rsid w:val="00F90A2E"/>
    <w:rsid w:val="00F90A58"/>
    <w:rsid w:val="00F92C5F"/>
    <w:rsid w:val="00F92DED"/>
    <w:rsid w:val="00F95489"/>
    <w:rsid w:val="00F95964"/>
    <w:rsid w:val="00F95D34"/>
    <w:rsid w:val="00F97CB0"/>
    <w:rsid w:val="00FA0A3E"/>
    <w:rsid w:val="00FB059B"/>
    <w:rsid w:val="00FB1C6E"/>
    <w:rsid w:val="00FB245A"/>
    <w:rsid w:val="00FB2E23"/>
    <w:rsid w:val="00FB3643"/>
    <w:rsid w:val="00FB424A"/>
    <w:rsid w:val="00FB4594"/>
    <w:rsid w:val="00FB6184"/>
    <w:rsid w:val="00FC0FF7"/>
    <w:rsid w:val="00FC33F1"/>
    <w:rsid w:val="00FC668C"/>
    <w:rsid w:val="00FC6B3D"/>
    <w:rsid w:val="00FC778E"/>
    <w:rsid w:val="00FC79A2"/>
    <w:rsid w:val="00FD54F2"/>
    <w:rsid w:val="00FD57FE"/>
    <w:rsid w:val="00FD59C7"/>
    <w:rsid w:val="00FD6EDA"/>
    <w:rsid w:val="00FE5B5B"/>
    <w:rsid w:val="00FE5FCF"/>
    <w:rsid w:val="00FE6E11"/>
    <w:rsid w:val="00FF3CD6"/>
    <w:rsid w:val="00FF4D07"/>
    <w:rsid w:val="00FF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B718"/>
  <w15:docId w15:val="{6C53BBB8-6B2C-4ED7-AFA3-8299F3F3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16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E3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3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33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668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713B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81EA4"/>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6065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53"/>
  </w:style>
  <w:style w:type="paragraph" w:styleId="Footer">
    <w:name w:val="footer"/>
    <w:basedOn w:val="Normal"/>
    <w:link w:val="FooterChar"/>
    <w:uiPriority w:val="99"/>
    <w:unhideWhenUsed/>
    <w:rsid w:val="006065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53"/>
  </w:style>
  <w:style w:type="character" w:customStyle="1" w:styleId="Heading2Char">
    <w:name w:val="Heading 2 Char"/>
    <w:basedOn w:val="DefaultParagraphFont"/>
    <w:link w:val="Heading2"/>
    <w:uiPriority w:val="9"/>
    <w:rsid w:val="006E3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C33F6"/>
    <w:rPr>
      <w:rFonts w:asciiTheme="majorHAnsi" w:eastAsiaTheme="majorEastAsia" w:hAnsiTheme="majorHAnsi" w:cstheme="majorBidi"/>
      <w:color w:val="1F3763" w:themeColor="accent1" w:themeShade="7F"/>
      <w:sz w:val="24"/>
      <w:szCs w:val="24"/>
    </w:rPr>
  </w:style>
  <w:style w:type="paragraph" w:customStyle="1" w:styleId="footnotedescription">
    <w:name w:val="footnote description"/>
    <w:next w:val="Normal"/>
    <w:link w:val="footnotedescriptionChar"/>
    <w:hidden/>
    <w:rsid w:val="002C33F6"/>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C33F6"/>
    <w:rPr>
      <w:rFonts w:ascii="Times New Roman" w:eastAsia="Times New Roman" w:hAnsi="Times New Roman" w:cs="Times New Roman"/>
      <w:color w:val="000000"/>
      <w:sz w:val="20"/>
    </w:rPr>
  </w:style>
  <w:style w:type="character" w:customStyle="1" w:styleId="footnotemark">
    <w:name w:val="footnote mark"/>
    <w:hidden/>
    <w:rsid w:val="002C33F6"/>
    <w:rPr>
      <w:rFonts w:ascii="Times New Roman" w:eastAsia="Times New Roman" w:hAnsi="Times New Roman" w:cs="Times New Roman"/>
      <w:color w:val="000000"/>
      <w:sz w:val="20"/>
      <w:vertAlign w:val="superscript"/>
    </w:rPr>
  </w:style>
  <w:style w:type="character" w:customStyle="1" w:styleId="Heading4Char">
    <w:name w:val="Heading 4 Char"/>
    <w:basedOn w:val="DefaultParagraphFont"/>
    <w:link w:val="Heading4"/>
    <w:uiPriority w:val="9"/>
    <w:semiHidden/>
    <w:rsid w:val="00FC33F1"/>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D222E"/>
    <w:pPr>
      <w:ind w:left="720"/>
      <w:contextualSpacing/>
    </w:pPr>
  </w:style>
  <w:style w:type="paragraph" w:styleId="FootnoteText">
    <w:name w:val="footnote text"/>
    <w:basedOn w:val="Normal"/>
    <w:link w:val="FootnoteTextChar"/>
    <w:uiPriority w:val="99"/>
    <w:semiHidden/>
    <w:unhideWhenUsed/>
    <w:rsid w:val="00565E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EA9"/>
    <w:rPr>
      <w:sz w:val="20"/>
      <w:szCs w:val="20"/>
    </w:rPr>
  </w:style>
  <w:style w:type="paragraph" w:customStyle="1" w:styleId="wyq110---naslov-clana">
    <w:name w:val="wyq110---naslov-clana"/>
    <w:basedOn w:val="Normal"/>
    <w:rsid w:val="00565EA9"/>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565EA9"/>
    <w:rPr>
      <w:vertAlign w:val="superscript"/>
    </w:rPr>
  </w:style>
  <w:style w:type="character" w:customStyle="1" w:styleId="iceouttxt">
    <w:name w:val="iceouttxt"/>
    <w:basedOn w:val="DefaultParagraphFont"/>
    <w:rsid w:val="00565EA9"/>
  </w:style>
  <w:style w:type="paragraph" w:customStyle="1" w:styleId="bold">
    <w:name w:val="bold"/>
    <w:basedOn w:val="Normal"/>
    <w:rsid w:val="00EE74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EE74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EE7426"/>
  </w:style>
  <w:style w:type="character" w:customStyle="1" w:styleId="superscript">
    <w:name w:val="superscript"/>
    <w:basedOn w:val="DefaultParagraphFont"/>
    <w:rsid w:val="00EE7426"/>
  </w:style>
  <w:style w:type="character" w:customStyle="1" w:styleId="Heading5Char">
    <w:name w:val="Heading 5 Char"/>
    <w:basedOn w:val="DefaultParagraphFont"/>
    <w:link w:val="Heading5"/>
    <w:uiPriority w:val="9"/>
    <w:semiHidden/>
    <w:rsid w:val="00FC668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713B7"/>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610346"/>
    <w:pPr>
      <w:spacing w:after="0" w:line="240" w:lineRule="auto"/>
    </w:pPr>
    <w:rPr>
      <w:rFonts w:eastAsiaTheme="minorEastAsia"/>
    </w:rPr>
  </w:style>
  <w:style w:type="character" w:customStyle="1" w:styleId="NoSpacingChar">
    <w:name w:val="No Spacing Char"/>
    <w:basedOn w:val="DefaultParagraphFont"/>
    <w:link w:val="NoSpacing"/>
    <w:uiPriority w:val="1"/>
    <w:rsid w:val="00610346"/>
    <w:rPr>
      <w:rFonts w:eastAsiaTheme="minorEastAsia"/>
    </w:rPr>
  </w:style>
  <w:style w:type="character" w:customStyle="1" w:styleId="Heading1Char">
    <w:name w:val="Heading 1 Char"/>
    <w:basedOn w:val="DefaultParagraphFont"/>
    <w:link w:val="Heading1"/>
    <w:uiPriority w:val="9"/>
    <w:rsid w:val="0076168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179CA"/>
    <w:pPr>
      <w:outlineLvl w:val="9"/>
    </w:pPr>
  </w:style>
  <w:style w:type="paragraph" w:styleId="TOC1">
    <w:name w:val="toc 1"/>
    <w:basedOn w:val="Normal"/>
    <w:next w:val="Normal"/>
    <w:autoRedefine/>
    <w:uiPriority w:val="39"/>
    <w:unhideWhenUsed/>
    <w:rsid w:val="00A179CA"/>
    <w:pPr>
      <w:spacing w:after="100"/>
    </w:pPr>
  </w:style>
  <w:style w:type="paragraph" w:styleId="TOC2">
    <w:name w:val="toc 2"/>
    <w:basedOn w:val="Normal"/>
    <w:next w:val="Normal"/>
    <w:autoRedefine/>
    <w:uiPriority w:val="39"/>
    <w:unhideWhenUsed/>
    <w:rsid w:val="00A179CA"/>
    <w:pPr>
      <w:spacing w:after="100"/>
      <w:ind w:left="220"/>
    </w:pPr>
  </w:style>
  <w:style w:type="paragraph" w:styleId="TOC3">
    <w:name w:val="toc 3"/>
    <w:basedOn w:val="Normal"/>
    <w:next w:val="Normal"/>
    <w:autoRedefine/>
    <w:uiPriority w:val="39"/>
    <w:unhideWhenUsed/>
    <w:rsid w:val="00A179CA"/>
    <w:pPr>
      <w:spacing w:after="100"/>
      <w:ind w:left="440"/>
    </w:pPr>
  </w:style>
  <w:style w:type="character" w:styleId="Hyperlink">
    <w:name w:val="Hyperlink"/>
    <w:basedOn w:val="DefaultParagraphFont"/>
    <w:uiPriority w:val="99"/>
    <w:unhideWhenUsed/>
    <w:rsid w:val="00A179CA"/>
    <w:rPr>
      <w:color w:val="0563C1" w:themeColor="hyperlink"/>
      <w:u w:val="single"/>
    </w:rPr>
  </w:style>
  <w:style w:type="table" w:customStyle="1" w:styleId="TableGrid1">
    <w:name w:val="TableGrid1"/>
    <w:rsid w:val="00C77982"/>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C77982"/>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E7F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F6F"/>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9213">
      <w:bodyDiv w:val="1"/>
      <w:marLeft w:val="0"/>
      <w:marRight w:val="0"/>
      <w:marTop w:val="0"/>
      <w:marBottom w:val="0"/>
      <w:divBdr>
        <w:top w:val="none" w:sz="0" w:space="0" w:color="auto"/>
        <w:left w:val="none" w:sz="0" w:space="0" w:color="auto"/>
        <w:bottom w:val="none" w:sz="0" w:space="0" w:color="auto"/>
        <w:right w:val="none" w:sz="0" w:space="0" w:color="auto"/>
      </w:divBdr>
    </w:div>
    <w:div w:id="419572280">
      <w:bodyDiv w:val="1"/>
      <w:marLeft w:val="0"/>
      <w:marRight w:val="0"/>
      <w:marTop w:val="0"/>
      <w:marBottom w:val="0"/>
      <w:divBdr>
        <w:top w:val="none" w:sz="0" w:space="0" w:color="auto"/>
        <w:left w:val="none" w:sz="0" w:space="0" w:color="auto"/>
        <w:bottom w:val="none" w:sz="0" w:space="0" w:color="auto"/>
        <w:right w:val="none" w:sz="0" w:space="0" w:color="auto"/>
      </w:divBdr>
    </w:div>
    <w:div w:id="607471754">
      <w:bodyDiv w:val="1"/>
      <w:marLeft w:val="0"/>
      <w:marRight w:val="0"/>
      <w:marTop w:val="0"/>
      <w:marBottom w:val="0"/>
      <w:divBdr>
        <w:top w:val="none" w:sz="0" w:space="0" w:color="auto"/>
        <w:left w:val="none" w:sz="0" w:space="0" w:color="auto"/>
        <w:bottom w:val="none" w:sz="0" w:space="0" w:color="auto"/>
        <w:right w:val="none" w:sz="0" w:space="0" w:color="auto"/>
      </w:divBdr>
    </w:div>
    <w:div w:id="1520899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3D724D-32AE-4706-BA03-3A0AA7D91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13831</Words>
  <Characters>78841</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ПРИВАТИЗАЦИЈА ИНСТИТУТА ЗА ВОДОПРИВРЕДУ „ЈАРОСЛАВ ЧЕРНИ“</vt:lpstr>
    </vt:vector>
  </TitlesOfParts>
  <Company/>
  <LinksUpToDate>false</LinksUpToDate>
  <CharactersWithSpaces>92488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ПРИВАТИЗАЦИЈА ИНСТИТУТА ЗА ВОДОПРИВРЕДУ „ЈАРОСЛАВ ЧЕРНИ“</dc:title>
  <dc:subject/>
  <dc:creator>User</dc:creator>
  <cp:keywords/>
  <dc:description/>
  <cp:lastModifiedBy>User</cp:lastModifiedBy>
  <cp:revision>2</cp:revision>
  <dcterms:created xsi:type="dcterms:W3CDTF">2022-09-14T08:11:00Z</dcterms:created>
  <dcterms:modified xsi:type="dcterms:W3CDTF">2022-09-14T08:11:00Z</dcterms:modified>
</cp:coreProperties>
</file>